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5F0F" w14:textId="393ABDC9" w:rsidR="00D45D2F" w:rsidRPr="002936B5" w:rsidRDefault="00D45D2F" w:rsidP="00332D8F">
      <w:pPr>
        <w:spacing w:after="240"/>
        <w:ind w:left="4706"/>
      </w:pPr>
      <w:r w:rsidRPr="002936B5">
        <w:t xml:space="preserve">Приложение </w:t>
      </w:r>
      <w:r w:rsidR="009E14EA">
        <w:t>5</w:t>
      </w:r>
      <w:r w:rsidRPr="002936B5">
        <w:br/>
        <w:t>к Указанию Банка России</w:t>
      </w:r>
      <w:r w:rsidRPr="002936B5">
        <w:br/>
        <w:t xml:space="preserve">от </w:t>
      </w:r>
      <w:r>
        <w:t>1 октября</w:t>
      </w:r>
      <w:r w:rsidRPr="002936B5">
        <w:t xml:space="preserve"> 202</w:t>
      </w:r>
      <w:r>
        <w:t>4</w:t>
      </w:r>
      <w:r w:rsidRPr="002936B5">
        <w:t xml:space="preserve"> года № 6</w:t>
      </w:r>
      <w:r>
        <w:t>886</w:t>
      </w:r>
      <w:r w:rsidRPr="002936B5">
        <w:t>-У</w:t>
      </w:r>
      <w:r w:rsidRPr="002936B5">
        <w:br/>
        <w:t>«О минима</w:t>
      </w:r>
      <w:r>
        <w:t>льных (стандартных) требованиях</w:t>
      </w:r>
      <w:r>
        <w:br/>
      </w:r>
      <w:r w:rsidRPr="002936B5">
        <w:t xml:space="preserve">к объему и содержанию информации, предоставляемой кредитной организацией, действующей от своего имени при совершении сделки с физическим лицом по возмездному отчуждению ценных бумаг, при заключении договоров, являющихся производными финансовыми инструментами, либо действующей от имени и (или) по поручению некредитной финансовой организации при заключении </w:t>
      </w:r>
      <w:r>
        <w:br/>
      </w:r>
      <w:r w:rsidRPr="002936B5">
        <w:t xml:space="preserve">с физическим лицом договоров об оказании финансовых услуг, в том числе об их условиях </w:t>
      </w:r>
      <w:r>
        <w:br/>
      </w:r>
      <w:r w:rsidRPr="002936B5">
        <w:t xml:space="preserve">и рисках, связанных с их исполнением, а также </w:t>
      </w:r>
      <w:r>
        <w:br/>
      </w:r>
      <w:r w:rsidRPr="002936B5">
        <w:t>о форме, способах и порядке предоставления указанной информации»</w:t>
      </w:r>
    </w:p>
    <w:p w14:paraId="5D2DCC92" w14:textId="76EB113F" w:rsidR="00AD1148" w:rsidRDefault="00320CF8" w:rsidP="00D46670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2B069B89" w14:textId="24C1C78C" w:rsidR="004E244C" w:rsidRPr="004E244C" w:rsidRDefault="00E34577" w:rsidP="004E244C">
      <w:pPr>
        <w:spacing w:after="240"/>
        <w:jc w:val="center"/>
        <w:rPr>
          <w:sz w:val="25"/>
          <w:szCs w:val="25"/>
        </w:rPr>
      </w:pPr>
      <w:r w:rsidRPr="004E244C">
        <w:rPr>
          <w:sz w:val="25"/>
          <w:szCs w:val="25"/>
        </w:rPr>
        <w:t xml:space="preserve">Информация, </w:t>
      </w:r>
      <w:r w:rsidR="00D46670" w:rsidRPr="004E244C">
        <w:rPr>
          <w:sz w:val="25"/>
          <w:szCs w:val="25"/>
        </w:rPr>
        <w:br/>
      </w:r>
      <w:r w:rsidR="004E244C" w:rsidRPr="004E244C">
        <w:rPr>
          <w:sz w:val="25"/>
          <w:szCs w:val="25"/>
        </w:rPr>
        <w:t xml:space="preserve">предоставляемая кредитной организацией, действующей </w:t>
      </w:r>
      <w:r w:rsidR="004E244C" w:rsidRPr="004E244C">
        <w:rPr>
          <w:sz w:val="25"/>
          <w:szCs w:val="25"/>
        </w:rPr>
        <w:br/>
        <w:t xml:space="preserve">от имени и (или) по поручению негосударственного пенсионного </w:t>
      </w:r>
      <w:r w:rsidR="004E244C" w:rsidRPr="004E244C">
        <w:rPr>
          <w:sz w:val="25"/>
          <w:szCs w:val="25"/>
        </w:rPr>
        <w:br/>
        <w:t>фонда при заключении с физическим лицом договоров долгосрочных сбережений</w:t>
      </w:r>
    </w:p>
    <w:tbl>
      <w:tblPr>
        <w:tblStyle w:val="aa"/>
        <w:tblW w:w="9128" w:type="dxa"/>
        <w:jc w:val="center"/>
        <w:tblBorders>
          <w:bottom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4"/>
        <w:gridCol w:w="2721"/>
        <w:gridCol w:w="2891"/>
        <w:gridCol w:w="2722"/>
      </w:tblGrid>
      <w:tr w:rsidR="006701DA" w14:paraId="6752EDF4" w14:textId="77777777" w:rsidTr="006E6A00">
        <w:trPr>
          <w:cantSplit/>
          <w:jc w:val="center"/>
        </w:trPr>
        <w:tc>
          <w:tcPr>
            <w:tcW w:w="794" w:type="dxa"/>
          </w:tcPr>
          <w:p w14:paraId="4A892C74" w14:textId="1C214FA8" w:rsidR="00C02201" w:rsidRPr="00D46670" w:rsidRDefault="00C02201" w:rsidP="006701DA">
            <w:pPr>
              <w:spacing w:before="120" w:after="120"/>
              <w:jc w:val="center"/>
            </w:pPr>
            <w:r w:rsidRPr="00D46670">
              <w:t xml:space="preserve">№ </w:t>
            </w:r>
            <w:r w:rsidR="00D34E46">
              <w:br/>
            </w:r>
            <w:r w:rsidRPr="00D46670">
              <w:t>п/п</w:t>
            </w:r>
          </w:p>
        </w:tc>
        <w:tc>
          <w:tcPr>
            <w:tcW w:w="2721" w:type="dxa"/>
          </w:tcPr>
          <w:p w14:paraId="0B7B3ECD" w14:textId="77777777" w:rsidR="00C02201" w:rsidRPr="00D46670" w:rsidRDefault="00C02201" w:rsidP="006701DA">
            <w:pPr>
              <w:spacing w:before="120" w:after="120"/>
              <w:jc w:val="center"/>
            </w:pPr>
            <w:r w:rsidRPr="00D46670">
              <w:t>Вид информации</w:t>
            </w:r>
          </w:p>
        </w:tc>
        <w:tc>
          <w:tcPr>
            <w:tcW w:w="2891" w:type="dxa"/>
          </w:tcPr>
          <w:p w14:paraId="1224FE17" w14:textId="77777777" w:rsidR="00C02201" w:rsidRPr="00D46670" w:rsidRDefault="00C02201" w:rsidP="006701DA">
            <w:pPr>
              <w:spacing w:before="120" w:after="120"/>
              <w:jc w:val="center"/>
            </w:pPr>
            <w:r w:rsidRPr="00D46670">
              <w:t>Содержание предоставляемой информации</w:t>
            </w:r>
          </w:p>
        </w:tc>
        <w:tc>
          <w:tcPr>
            <w:tcW w:w="2722" w:type="dxa"/>
          </w:tcPr>
          <w:p w14:paraId="30347400" w14:textId="7B8B9DB8" w:rsidR="00C02201" w:rsidRPr="00D46670" w:rsidRDefault="00C02201" w:rsidP="006701DA">
            <w:pPr>
              <w:spacing w:before="120" w:after="120"/>
              <w:jc w:val="center"/>
            </w:pPr>
            <w:r w:rsidRPr="00D46670">
              <w:t>Подпись физического лица, подтверждающая его ознакомление с информацией</w:t>
            </w:r>
          </w:p>
        </w:tc>
      </w:tr>
    </w:tbl>
    <w:p w14:paraId="79C826AB" w14:textId="77777777" w:rsidR="008808F5" w:rsidRPr="008808F5" w:rsidRDefault="008808F5" w:rsidP="00332D8F">
      <w:pPr>
        <w:spacing w:line="24" w:lineRule="auto"/>
        <w:rPr>
          <w:sz w:val="2"/>
          <w:szCs w:val="2"/>
        </w:rPr>
      </w:pPr>
    </w:p>
    <w:tbl>
      <w:tblPr>
        <w:tblStyle w:val="aa"/>
        <w:tblW w:w="912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4"/>
        <w:gridCol w:w="2721"/>
        <w:gridCol w:w="2891"/>
        <w:gridCol w:w="397"/>
        <w:gridCol w:w="1928"/>
        <w:gridCol w:w="397"/>
      </w:tblGrid>
      <w:tr w:rsidR="00C02201" w14:paraId="1056BAA6" w14:textId="77777777" w:rsidTr="006E6A00">
        <w:trPr>
          <w:tblHeader/>
          <w:jc w:val="center"/>
        </w:trPr>
        <w:tc>
          <w:tcPr>
            <w:tcW w:w="794" w:type="dxa"/>
          </w:tcPr>
          <w:p w14:paraId="737F8E31" w14:textId="77777777" w:rsidR="00C02201" w:rsidRPr="00D46670" w:rsidRDefault="00C02201" w:rsidP="00C02201">
            <w:pPr>
              <w:jc w:val="center"/>
            </w:pPr>
            <w:r w:rsidRPr="00D46670">
              <w:t>1</w:t>
            </w:r>
          </w:p>
        </w:tc>
        <w:tc>
          <w:tcPr>
            <w:tcW w:w="2721" w:type="dxa"/>
          </w:tcPr>
          <w:p w14:paraId="7F7EE4DC" w14:textId="77777777" w:rsidR="00C02201" w:rsidRPr="00D46670" w:rsidRDefault="00C02201" w:rsidP="00C02201">
            <w:pPr>
              <w:jc w:val="center"/>
            </w:pPr>
            <w:r w:rsidRPr="00D46670">
              <w:t>2</w:t>
            </w:r>
          </w:p>
        </w:tc>
        <w:tc>
          <w:tcPr>
            <w:tcW w:w="2891" w:type="dxa"/>
          </w:tcPr>
          <w:p w14:paraId="421EBDE3" w14:textId="77777777" w:rsidR="00C02201" w:rsidRPr="00D46670" w:rsidRDefault="00C02201" w:rsidP="00C02201">
            <w:pPr>
              <w:jc w:val="center"/>
            </w:pPr>
            <w:r w:rsidRPr="00D46670">
              <w:t>3</w:t>
            </w:r>
          </w:p>
        </w:tc>
        <w:tc>
          <w:tcPr>
            <w:tcW w:w="2722" w:type="dxa"/>
            <w:gridSpan w:val="3"/>
          </w:tcPr>
          <w:p w14:paraId="306791F2" w14:textId="77777777" w:rsidR="00C02201" w:rsidRPr="00D46670" w:rsidRDefault="00C02201" w:rsidP="00C02201">
            <w:pPr>
              <w:jc w:val="center"/>
            </w:pPr>
            <w:r w:rsidRPr="00D46670">
              <w:t>4</w:t>
            </w:r>
          </w:p>
        </w:tc>
      </w:tr>
      <w:tr w:rsidR="00BE008B" w14:paraId="38F623C5" w14:textId="77777777" w:rsidTr="006E6A00">
        <w:trPr>
          <w:trHeight w:val="425"/>
          <w:jc w:val="center"/>
        </w:trPr>
        <w:tc>
          <w:tcPr>
            <w:tcW w:w="794" w:type="dxa"/>
            <w:vMerge w:val="restart"/>
          </w:tcPr>
          <w:p w14:paraId="6A431B97" w14:textId="77777777" w:rsidR="00BA14B7" w:rsidRPr="00D46670" w:rsidRDefault="00BA14B7" w:rsidP="006701DA">
            <w:pPr>
              <w:spacing w:before="120" w:after="120"/>
              <w:jc w:val="center"/>
            </w:pPr>
            <w:r w:rsidRPr="00D46670">
              <w:t>1</w:t>
            </w:r>
          </w:p>
        </w:tc>
        <w:tc>
          <w:tcPr>
            <w:tcW w:w="2721" w:type="dxa"/>
            <w:vMerge w:val="restart"/>
          </w:tcPr>
          <w:p w14:paraId="2B864CEB" w14:textId="27AB5E37" w:rsidR="00BA14B7" w:rsidRPr="00D46670" w:rsidRDefault="004E244C" w:rsidP="006701DA">
            <w:pPr>
              <w:spacing w:before="120" w:after="120"/>
              <w:ind w:left="57" w:right="57" w:firstLine="227"/>
            </w:pPr>
            <w:r>
              <w:t>Информация о договоре долгосрочных сбережений (далее – договор ДС)</w:t>
            </w:r>
          </w:p>
        </w:tc>
        <w:tc>
          <w:tcPr>
            <w:tcW w:w="2891" w:type="dxa"/>
            <w:vMerge w:val="restart"/>
          </w:tcPr>
          <w:p w14:paraId="5A419DC6" w14:textId="4276878C" w:rsidR="00BA14B7" w:rsidRPr="00D46670" w:rsidRDefault="009C48AD" w:rsidP="00DA3F79">
            <w:pPr>
              <w:spacing w:before="120" w:after="120"/>
              <w:ind w:left="57" w:right="57" w:firstLine="227"/>
            </w:pPr>
            <w:r w:rsidRPr="00D46670">
              <w:t>1.1</w:t>
            </w:r>
            <w:r w:rsidR="00407D01" w:rsidRPr="00D46670">
              <w:t>.</w:t>
            </w:r>
            <w:r w:rsidRPr="00D46670">
              <w:t> </w:t>
            </w:r>
            <w:r w:rsidR="00A275E3">
              <w:t>Отсутствует гарантия получения доходности</w:t>
            </w:r>
          </w:p>
        </w:tc>
        <w:tc>
          <w:tcPr>
            <w:tcW w:w="397" w:type="dxa"/>
            <w:tcBorders>
              <w:bottom w:val="nil"/>
              <w:right w:val="nil"/>
            </w:tcBorders>
          </w:tcPr>
          <w:p w14:paraId="224E9CEF" w14:textId="77777777" w:rsidR="00BA14B7" w:rsidRPr="00D46670" w:rsidRDefault="00BA14B7" w:rsidP="00A02E37"/>
        </w:tc>
        <w:tc>
          <w:tcPr>
            <w:tcW w:w="1928" w:type="dxa"/>
            <w:tcBorders>
              <w:left w:val="nil"/>
              <w:bottom w:val="single" w:sz="4" w:space="0" w:color="auto"/>
              <w:right w:val="nil"/>
            </w:tcBorders>
          </w:tcPr>
          <w:p w14:paraId="3CE734CC" w14:textId="77777777" w:rsidR="00BA14B7" w:rsidRPr="00D46670" w:rsidRDefault="00BA14B7" w:rsidP="00956890">
            <w:pPr>
              <w:jc w:val="center"/>
            </w:pPr>
          </w:p>
        </w:tc>
        <w:tc>
          <w:tcPr>
            <w:tcW w:w="397" w:type="dxa"/>
            <w:tcBorders>
              <w:left w:val="nil"/>
              <w:bottom w:val="nil"/>
            </w:tcBorders>
          </w:tcPr>
          <w:p w14:paraId="0CE143E3" w14:textId="77777777" w:rsidR="00BA14B7" w:rsidRPr="00D46670" w:rsidRDefault="00BA14B7" w:rsidP="00A02E37"/>
        </w:tc>
      </w:tr>
      <w:tr w:rsidR="00BE008B" w14:paraId="09418ECD" w14:textId="77777777" w:rsidTr="006E6A00">
        <w:trPr>
          <w:trHeight w:hRule="exact" w:val="425"/>
          <w:jc w:val="center"/>
        </w:trPr>
        <w:tc>
          <w:tcPr>
            <w:tcW w:w="794" w:type="dxa"/>
            <w:vMerge/>
          </w:tcPr>
          <w:p w14:paraId="55C72145" w14:textId="77777777" w:rsidR="00BA14B7" w:rsidRPr="00D46670" w:rsidRDefault="00BA14B7" w:rsidP="00956890">
            <w:pPr>
              <w:jc w:val="center"/>
            </w:pPr>
          </w:p>
        </w:tc>
        <w:tc>
          <w:tcPr>
            <w:tcW w:w="2721" w:type="dxa"/>
            <w:vMerge/>
          </w:tcPr>
          <w:p w14:paraId="535432B3" w14:textId="77777777" w:rsidR="00BA14B7" w:rsidRPr="00D46670" w:rsidRDefault="00BA14B7" w:rsidP="006701DA">
            <w:pPr>
              <w:ind w:left="57" w:right="57"/>
            </w:pPr>
          </w:p>
        </w:tc>
        <w:tc>
          <w:tcPr>
            <w:tcW w:w="2891" w:type="dxa"/>
            <w:vMerge/>
          </w:tcPr>
          <w:p w14:paraId="6029E6AD" w14:textId="77777777" w:rsidR="00BA14B7" w:rsidRPr="00D46670" w:rsidRDefault="00BA14B7" w:rsidP="00DA3F79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nil"/>
              <w:right w:val="single" w:sz="4" w:space="0" w:color="auto"/>
            </w:tcBorders>
          </w:tcPr>
          <w:p w14:paraId="42835908" w14:textId="77777777" w:rsidR="00BA14B7" w:rsidRPr="00D46670" w:rsidRDefault="00BA14B7" w:rsidP="00A02E37"/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6E1C" w14:textId="77777777" w:rsidR="00BA14B7" w:rsidRPr="00D46670" w:rsidRDefault="00BA14B7" w:rsidP="00956890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14:paraId="1FBBF8B9" w14:textId="77777777" w:rsidR="00BA14B7" w:rsidRPr="00D46670" w:rsidRDefault="00BA14B7" w:rsidP="00A02E37"/>
        </w:tc>
      </w:tr>
      <w:tr w:rsidR="00BE008B" w14:paraId="49BE0D98" w14:textId="77777777" w:rsidTr="006E6A00">
        <w:trPr>
          <w:jc w:val="center"/>
        </w:trPr>
        <w:tc>
          <w:tcPr>
            <w:tcW w:w="794" w:type="dxa"/>
            <w:vMerge/>
          </w:tcPr>
          <w:p w14:paraId="33100DCA" w14:textId="77777777" w:rsidR="00BA14B7" w:rsidRPr="00D46670" w:rsidRDefault="00BA14B7" w:rsidP="00956890">
            <w:pPr>
              <w:jc w:val="center"/>
            </w:pPr>
          </w:p>
        </w:tc>
        <w:tc>
          <w:tcPr>
            <w:tcW w:w="2721" w:type="dxa"/>
            <w:vMerge/>
          </w:tcPr>
          <w:p w14:paraId="09EDC485" w14:textId="77777777" w:rsidR="00BA14B7" w:rsidRPr="00D46670" w:rsidRDefault="00BA14B7" w:rsidP="006701DA">
            <w:pPr>
              <w:ind w:left="57" w:right="57"/>
            </w:pPr>
          </w:p>
        </w:tc>
        <w:tc>
          <w:tcPr>
            <w:tcW w:w="2891" w:type="dxa"/>
            <w:vMerge/>
          </w:tcPr>
          <w:p w14:paraId="0198D665" w14:textId="77777777" w:rsidR="00BA14B7" w:rsidRPr="00D46670" w:rsidRDefault="00BA14B7" w:rsidP="00DA3F79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right w:val="nil"/>
            </w:tcBorders>
          </w:tcPr>
          <w:p w14:paraId="5F659D62" w14:textId="77777777" w:rsidR="00BA14B7" w:rsidRPr="00D46670" w:rsidRDefault="00BA14B7" w:rsidP="00A02E37"/>
        </w:tc>
        <w:tc>
          <w:tcPr>
            <w:tcW w:w="1928" w:type="dxa"/>
            <w:tcBorders>
              <w:top w:val="single" w:sz="4" w:space="0" w:color="auto"/>
              <w:left w:val="nil"/>
              <w:right w:val="nil"/>
            </w:tcBorders>
          </w:tcPr>
          <w:p w14:paraId="58539763" w14:textId="77777777" w:rsidR="00BA14B7" w:rsidRPr="00D46670" w:rsidRDefault="006D0635" w:rsidP="00B233F4">
            <w:pPr>
              <w:spacing w:before="120" w:after="120"/>
              <w:jc w:val="center"/>
            </w:pPr>
            <w:r w:rsidRPr="00D46670">
              <w:t>С</w:t>
            </w:r>
            <w:r w:rsidR="00BA14B7" w:rsidRPr="00D46670">
              <w:t xml:space="preserve"> информацией ознакомлен</w:t>
            </w:r>
          </w:p>
        </w:tc>
        <w:tc>
          <w:tcPr>
            <w:tcW w:w="397" w:type="dxa"/>
            <w:tcBorders>
              <w:top w:val="nil"/>
              <w:left w:val="nil"/>
            </w:tcBorders>
          </w:tcPr>
          <w:p w14:paraId="19E38DA7" w14:textId="77777777" w:rsidR="00BA14B7" w:rsidRPr="00D46670" w:rsidRDefault="00BA14B7" w:rsidP="00A02E37"/>
        </w:tc>
      </w:tr>
      <w:tr w:rsidR="00BE008B" w14:paraId="04AAFC4D" w14:textId="77777777" w:rsidTr="006E6A00">
        <w:trPr>
          <w:trHeight w:val="425"/>
          <w:jc w:val="center"/>
        </w:trPr>
        <w:tc>
          <w:tcPr>
            <w:tcW w:w="794" w:type="dxa"/>
            <w:vMerge/>
          </w:tcPr>
          <w:p w14:paraId="1B1C5677" w14:textId="77777777" w:rsidR="00BA14B7" w:rsidRPr="00D46670" w:rsidRDefault="00BA14B7" w:rsidP="00956890">
            <w:pPr>
              <w:jc w:val="center"/>
            </w:pPr>
          </w:p>
        </w:tc>
        <w:tc>
          <w:tcPr>
            <w:tcW w:w="2721" w:type="dxa"/>
            <w:vMerge/>
          </w:tcPr>
          <w:p w14:paraId="292DC955" w14:textId="77777777" w:rsidR="00BA14B7" w:rsidRPr="00D46670" w:rsidRDefault="00BA14B7" w:rsidP="006701DA">
            <w:pPr>
              <w:ind w:left="57" w:right="57"/>
            </w:pPr>
          </w:p>
        </w:tc>
        <w:tc>
          <w:tcPr>
            <w:tcW w:w="2891" w:type="dxa"/>
            <w:vMerge w:val="restart"/>
          </w:tcPr>
          <w:p w14:paraId="5C917AE6" w14:textId="6140ECDD" w:rsidR="00BA14B7" w:rsidRPr="00D46670" w:rsidRDefault="00BA14B7" w:rsidP="00DA3F79">
            <w:pPr>
              <w:spacing w:before="120" w:after="120"/>
              <w:ind w:left="57" w:right="57" w:firstLine="227"/>
            </w:pPr>
            <w:r w:rsidRPr="00D46670">
              <w:t>1.2.</w:t>
            </w:r>
            <w:r w:rsidR="00407D01" w:rsidRPr="00D46670">
              <w:t> </w:t>
            </w:r>
            <w:r w:rsidR="004E244C">
              <w:t xml:space="preserve">Договор ДС не является договором банковского </w:t>
            </w:r>
            <w:r w:rsidR="004E244C">
              <w:br/>
              <w:t>вклада (банковского счета)</w:t>
            </w:r>
          </w:p>
        </w:tc>
        <w:tc>
          <w:tcPr>
            <w:tcW w:w="397" w:type="dxa"/>
            <w:tcBorders>
              <w:bottom w:val="nil"/>
              <w:right w:val="nil"/>
            </w:tcBorders>
          </w:tcPr>
          <w:p w14:paraId="5424AC29" w14:textId="77777777" w:rsidR="00BA14B7" w:rsidRPr="00D46670" w:rsidRDefault="00BA14B7" w:rsidP="00064EC9"/>
        </w:tc>
        <w:tc>
          <w:tcPr>
            <w:tcW w:w="1928" w:type="dxa"/>
            <w:tcBorders>
              <w:left w:val="nil"/>
              <w:bottom w:val="single" w:sz="4" w:space="0" w:color="auto"/>
              <w:right w:val="nil"/>
            </w:tcBorders>
          </w:tcPr>
          <w:p w14:paraId="1DED7C3C" w14:textId="77777777" w:rsidR="00BA14B7" w:rsidRPr="00D46670" w:rsidRDefault="00BA14B7" w:rsidP="00064EC9">
            <w:pPr>
              <w:jc w:val="center"/>
            </w:pPr>
          </w:p>
        </w:tc>
        <w:tc>
          <w:tcPr>
            <w:tcW w:w="397" w:type="dxa"/>
            <w:tcBorders>
              <w:left w:val="nil"/>
              <w:bottom w:val="nil"/>
            </w:tcBorders>
          </w:tcPr>
          <w:p w14:paraId="3AC3CD62" w14:textId="77777777" w:rsidR="00BA14B7" w:rsidRPr="00D46670" w:rsidRDefault="00BA14B7" w:rsidP="00064EC9"/>
        </w:tc>
      </w:tr>
      <w:tr w:rsidR="00BE008B" w14:paraId="4ECB7C76" w14:textId="77777777" w:rsidTr="006E6A00">
        <w:trPr>
          <w:trHeight w:hRule="exact" w:val="425"/>
          <w:jc w:val="center"/>
        </w:trPr>
        <w:tc>
          <w:tcPr>
            <w:tcW w:w="794" w:type="dxa"/>
            <w:vMerge/>
          </w:tcPr>
          <w:p w14:paraId="2E9DC554" w14:textId="77777777" w:rsidR="00BA14B7" w:rsidRPr="00D46670" w:rsidRDefault="00BA14B7" w:rsidP="00956890">
            <w:pPr>
              <w:jc w:val="center"/>
            </w:pPr>
          </w:p>
        </w:tc>
        <w:tc>
          <w:tcPr>
            <w:tcW w:w="2721" w:type="dxa"/>
            <w:vMerge/>
          </w:tcPr>
          <w:p w14:paraId="75A7F98F" w14:textId="77777777" w:rsidR="00BA14B7" w:rsidRPr="00D46670" w:rsidRDefault="00BA14B7" w:rsidP="006701DA">
            <w:pPr>
              <w:ind w:left="57" w:right="57"/>
            </w:pPr>
          </w:p>
        </w:tc>
        <w:tc>
          <w:tcPr>
            <w:tcW w:w="2891" w:type="dxa"/>
            <w:vMerge/>
          </w:tcPr>
          <w:p w14:paraId="481DDF2E" w14:textId="77777777" w:rsidR="00BA14B7" w:rsidRPr="00D46670" w:rsidRDefault="00BA14B7" w:rsidP="00DA3F79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nil"/>
              <w:right w:val="single" w:sz="4" w:space="0" w:color="auto"/>
            </w:tcBorders>
          </w:tcPr>
          <w:p w14:paraId="3D07C7D8" w14:textId="77777777" w:rsidR="00BA14B7" w:rsidRPr="00D46670" w:rsidRDefault="00BA14B7" w:rsidP="00064EC9"/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8507" w14:textId="77777777" w:rsidR="00BA14B7" w:rsidRPr="00D46670" w:rsidRDefault="00BA14B7" w:rsidP="00064EC9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14:paraId="531E5C65" w14:textId="77777777" w:rsidR="00BA14B7" w:rsidRPr="00D46670" w:rsidRDefault="00BA14B7" w:rsidP="00064EC9"/>
        </w:tc>
      </w:tr>
      <w:tr w:rsidR="00BE008B" w14:paraId="26CC3D7A" w14:textId="77777777" w:rsidTr="006E6A00">
        <w:trPr>
          <w:jc w:val="center"/>
        </w:trPr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6F7298AD" w14:textId="77777777" w:rsidR="00BA14B7" w:rsidRPr="00D46670" w:rsidRDefault="00BA14B7" w:rsidP="00956890">
            <w:pPr>
              <w:jc w:val="center"/>
            </w:pPr>
          </w:p>
        </w:tc>
        <w:tc>
          <w:tcPr>
            <w:tcW w:w="2721" w:type="dxa"/>
            <w:vMerge/>
            <w:tcBorders>
              <w:bottom w:val="single" w:sz="4" w:space="0" w:color="auto"/>
            </w:tcBorders>
          </w:tcPr>
          <w:p w14:paraId="1A580E93" w14:textId="77777777" w:rsidR="00BA14B7" w:rsidRPr="00D46670" w:rsidRDefault="00BA14B7" w:rsidP="006701DA">
            <w:pPr>
              <w:ind w:left="57" w:right="57"/>
            </w:pPr>
          </w:p>
        </w:tc>
        <w:tc>
          <w:tcPr>
            <w:tcW w:w="2891" w:type="dxa"/>
            <w:vMerge/>
            <w:tcBorders>
              <w:bottom w:val="single" w:sz="4" w:space="0" w:color="auto"/>
            </w:tcBorders>
          </w:tcPr>
          <w:p w14:paraId="3F33DC44" w14:textId="77777777" w:rsidR="00BA14B7" w:rsidRPr="00D46670" w:rsidRDefault="00BA14B7" w:rsidP="00DA3F79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  <w:right w:val="nil"/>
            </w:tcBorders>
          </w:tcPr>
          <w:p w14:paraId="439605C1" w14:textId="77777777" w:rsidR="00BA14B7" w:rsidRPr="00D46670" w:rsidRDefault="00BA14B7" w:rsidP="00064EC9"/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789EA" w14:textId="77777777" w:rsidR="00BA14B7" w:rsidRPr="00D46670" w:rsidRDefault="006D0635" w:rsidP="00B233F4">
            <w:pPr>
              <w:spacing w:before="120" w:after="120"/>
              <w:jc w:val="center"/>
            </w:pPr>
            <w:r w:rsidRPr="00D46670">
              <w:t>С</w:t>
            </w:r>
            <w:r w:rsidR="00BA14B7" w:rsidRPr="00D46670">
              <w:t xml:space="preserve"> информацией ознакомлен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</w:tcBorders>
          </w:tcPr>
          <w:p w14:paraId="3822B6D1" w14:textId="77777777" w:rsidR="00BA14B7" w:rsidRPr="00D46670" w:rsidRDefault="00BA14B7" w:rsidP="00064EC9"/>
        </w:tc>
      </w:tr>
      <w:tr w:rsidR="00B15DC0" w14:paraId="596FA847" w14:textId="77777777" w:rsidTr="003533BC">
        <w:trPr>
          <w:trHeight w:val="425"/>
          <w:jc w:val="center"/>
        </w:trPr>
        <w:tc>
          <w:tcPr>
            <w:tcW w:w="794" w:type="dxa"/>
            <w:vMerge w:val="restart"/>
            <w:tcBorders>
              <w:bottom w:val="nil"/>
            </w:tcBorders>
          </w:tcPr>
          <w:p w14:paraId="29CC5EDA" w14:textId="221131BB" w:rsidR="00B15DC0" w:rsidRPr="00D46670" w:rsidRDefault="007C0F62" w:rsidP="00E5711C">
            <w:pPr>
              <w:keepNext/>
              <w:keepLines/>
              <w:spacing w:before="120" w:after="120"/>
              <w:jc w:val="center"/>
            </w:pPr>
            <w:r>
              <w:lastRenderedPageBreak/>
              <w:t>2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14:paraId="5554C733" w14:textId="09624DFE" w:rsidR="006E6A00" w:rsidRPr="006E6A00" w:rsidRDefault="006E6A00" w:rsidP="006E6A00">
            <w:pPr>
              <w:spacing w:before="120"/>
              <w:ind w:left="57" w:right="57" w:firstLine="227"/>
            </w:pPr>
            <w:r w:rsidRPr="006E6A00">
              <w:t xml:space="preserve">Информация о договоре ДС, заключаемом кредитной организацией, действующей от имени и (или) по поручению негосударственного пенсионного фонда (далее </w:t>
            </w:r>
            <w:r>
              <w:t>–</w:t>
            </w:r>
            <w:r w:rsidRPr="006E6A00">
              <w:t xml:space="preserve"> фонд), в том числе о рисках, связанных с его исполнением:</w:t>
            </w:r>
          </w:p>
          <w:p w14:paraId="306AD8A7" w14:textId="0571EA06" w:rsidR="006E6A00" w:rsidRPr="006E6A00" w:rsidRDefault="006E6A00" w:rsidP="006E6A00">
            <w:pPr>
              <w:ind w:left="57" w:right="57" w:firstLine="227"/>
            </w:pPr>
            <w:r w:rsidRPr="006E6A00">
              <w:t xml:space="preserve">вид договора ДС в соответствии с правилами формирования </w:t>
            </w:r>
            <w:r w:rsidR="000D1096">
              <w:br/>
            </w:r>
            <w:r w:rsidRPr="006E6A00">
              <w:t>долгосрочных сбережений фонда;</w:t>
            </w:r>
          </w:p>
          <w:p w14:paraId="0E065271" w14:textId="7E2BAEAF" w:rsidR="006E6A00" w:rsidRPr="006E6A00" w:rsidRDefault="006E6A00" w:rsidP="006E6A00">
            <w:pPr>
              <w:ind w:left="57" w:right="57" w:firstLine="227"/>
            </w:pPr>
            <w:r w:rsidRPr="006E6A00">
              <w:t xml:space="preserve">порядок и условия внесения сберегательных взносов, в том числе информация о размере, периодичности и сроках уплаты сберегательных взносов, а также </w:t>
            </w:r>
            <w:r w:rsidR="000D1096">
              <w:br/>
            </w:r>
            <w:r w:rsidRPr="006E6A00">
              <w:t>информация о возможности перевода средств пенсионных накоплений в качестве единовременного взноса по договору ДС;</w:t>
            </w:r>
          </w:p>
          <w:p w14:paraId="23956F60" w14:textId="77777777" w:rsidR="006E6A00" w:rsidRPr="006E6A00" w:rsidRDefault="006E6A00" w:rsidP="006E6A00">
            <w:pPr>
              <w:ind w:left="57" w:right="57" w:firstLine="227"/>
            </w:pPr>
            <w:r w:rsidRPr="006E6A00">
              <w:t>информация о том, что в случае перевода средств пенсионных накоплений в качестве единовременного взноса по договору ДС формирование накопительной пенсии прекращается;</w:t>
            </w:r>
          </w:p>
          <w:p w14:paraId="36DE83CD" w14:textId="77777777" w:rsidR="006E6A00" w:rsidRPr="006E6A00" w:rsidRDefault="006E6A00" w:rsidP="006E6A00">
            <w:pPr>
              <w:ind w:left="57" w:right="57" w:firstLine="227"/>
            </w:pPr>
            <w:r w:rsidRPr="006E6A00">
              <w:t>порядок обращения для назначения выплат по договору ДС;</w:t>
            </w:r>
          </w:p>
          <w:p w14:paraId="117325B8" w14:textId="77777777" w:rsidR="006E6A00" w:rsidRPr="006E6A00" w:rsidRDefault="006E6A00" w:rsidP="006E6A00">
            <w:pPr>
              <w:ind w:left="57" w:right="57" w:firstLine="227"/>
            </w:pPr>
            <w:r w:rsidRPr="006E6A00">
              <w:t>виды выплат, основания назначения выплат, порядок назначения выплат по договору ДС;</w:t>
            </w:r>
          </w:p>
          <w:p w14:paraId="097AB9F2" w14:textId="1C0A0F34" w:rsidR="006E6A00" w:rsidRPr="006E6A00" w:rsidRDefault="006E6A00" w:rsidP="006E6A00">
            <w:pPr>
              <w:ind w:left="57" w:right="57" w:firstLine="227"/>
            </w:pPr>
            <w:r w:rsidRPr="006E6A00">
              <w:t xml:space="preserve">порядок расчета размеров периодических выплат и единовременной выплаты </w:t>
            </w:r>
            <w:r w:rsidR="00334646">
              <w:br/>
            </w:r>
            <w:r w:rsidRPr="006E6A00">
              <w:t>по договору ДС;</w:t>
            </w:r>
          </w:p>
          <w:p w14:paraId="443C31EF" w14:textId="77777777" w:rsidR="006E6A00" w:rsidRPr="006E6A00" w:rsidRDefault="006E6A00" w:rsidP="006E6A00">
            <w:pPr>
              <w:ind w:left="57" w:right="57" w:firstLine="227"/>
            </w:pPr>
            <w:r w:rsidRPr="006E6A00">
              <w:t>порядок осуществления выплат по договору ДС;</w:t>
            </w:r>
          </w:p>
          <w:p w14:paraId="205FACAF" w14:textId="48F6054C" w:rsidR="006942CC" w:rsidRPr="00D46670" w:rsidRDefault="006E6A00" w:rsidP="000D1096">
            <w:pPr>
              <w:spacing w:after="120"/>
              <w:ind w:left="57" w:right="57" w:firstLine="227"/>
            </w:pPr>
            <w:r>
              <w:t xml:space="preserve">минимальная гарантированная </w:t>
            </w:r>
            <w:r w:rsidR="00334646">
              <w:br/>
            </w:r>
            <w:r>
              <w:t>доходность по договору ДС (если предусмотрено условиями договора ДС);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</w:tcBorders>
          </w:tcPr>
          <w:p w14:paraId="11708719" w14:textId="49522E6E" w:rsidR="00B15DC0" w:rsidRPr="00D46670" w:rsidRDefault="00B15DC0" w:rsidP="00E5711C">
            <w:pPr>
              <w:keepNext/>
              <w:keepLines/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bottom w:val="nil"/>
              <w:right w:val="nil"/>
            </w:tcBorders>
          </w:tcPr>
          <w:p w14:paraId="24FB9589" w14:textId="77777777" w:rsidR="00B15DC0" w:rsidRPr="00D46670" w:rsidRDefault="00B15DC0" w:rsidP="00E5711C">
            <w:pPr>
              <w:keepNext/>
              <w:keepLines/>
            </w:pPr>
          </w:p>
        </w:tc>
        <w:tc>
          <w:tcPr>
            <w:tcW w:w="1928" w:type="dxa"/>
            <w:tcBorders>
              <w:left w:val="nil"/>
              <w:bottom w:val="single" w:sz="4" w:space="0" w:color="auto"/>
              <w:right w:val="nil"/>
            </w:tcBorders>
          </w:tcPr>
          <w:p w14:paraId="62A47F3C" w14:textId="77777777" w:rsidR="00B15DC0" w:rsidRPr="00D46670" w:rsidRDefault="00B15DC0" w:rsidP="00E5711C">
            <w:pPr>
              <w:keepNext/>
              <w:keepLines/>
              <w:jc w:val="center"/>
            </w:pPr>
          </w:p>
        </w:tc>
        <w:tc>
          <w:tcPr>
            <w:tcW w:w="397" w:type="dxa"/>
            <w:tcBorders>
              <w:left w:val="nil"/>
              <w:bottom w:val="nil"/>
            </w:tcBorders>
          </w:tcPr>
          <w:p w14:paraId="5BB21229" w14:textId="77777777" w:rsidR="00B15DC0" w:rsidRPr="00D46670" w:rsidRDefault="00B15DC0" w:rsidP="00E5711C">
            <w:pPr>
              <w:keepNext/>
              <w:keepLines/>
            </w:pPr>
          </w:p>
        </w:tc>
      </w:tr>
      <w:tr w:rsidR="00B15DC0" w14:paraId="095C280C" w14:textId="77777777" w:rsidTr="006E6A00">
        <w:trPr>
          <w:trHeight w:hRule="exact" w:val="425"/>
          <w:jc w:val="center"/>
        </w:trPr>
        <w:tc>
          <w:tcPr>
            <w:tcW w:w="794" w:type="dxa"/>
            <w:vMerge/>
            <w:tcBorders>
              <w:bottom w:val="nil"/>
            </w:tcBorders>
          </w:tcPr>
          <w:p w14:paraId="2B978F86" w14:textId="77777777" w:rsidR="00B15DC0" w:rsidRPr="00D46670" w:rsidRDefault="00B15DC0" w:rsidP="00E5711C">
            <w:pPr>
              <w:keepNext/>
              <w:keepLines/>
              <w:jc w:val="center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14:paraId="7069D873" w14:textId="77777777" w:rsidR="00B15DC0" w:rsidRPr="00D46670" w:rsidRDefault="00B15DC0" w:rsidP="00E5711C">
            <w:pPr>
              <w:keepNext/>
              <w:keepLines/>
              <w:ind w:left="57" w:right="57"/>
            </w:pPr>
          </w:p>
        </w:tc>
        <w:tc>
          <w:tcPr>
            <w:tcW w:w="2891" w:type="dxa"/>
            <w:vMerge/>
          </w:tcPr>
          <w:p w14:paraId="27A1ACA3" w14:textId="77777777" w:rsidR="00B15DC0" w:rsidRPr="00D46670" w:rsidRDefault="00B15DC0" w:rsidP="00E5711C">
            <w:pPr>
              <w:keepNext/>
              <w:keepLines/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nil"/>
              <w:right w:val="single" w:sz="4" w:space="0" w:color="auto"/>
            </w:tcBorders>
          </w:tcPr>
          <w:p w14:paraId="0068C29C" w14:textId="77777777" w:rsidR="00B15DC0" w:rsidRPr="00D46670" w:rsidRDefault="00B15DC0" w:rsidP="00E5711C">
            <w:pPr>
              <w:keepNext/>
              <w:keepLines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8289" w14:textId="77777777" w:rsidR="00B15DC0" w:rsidRPr="00D46670" w:rsidRDefault="00B15DC0" w:rsidP="00E5711C">
            <w:pPr>
              <w:keepNext/>
              <w:keepLines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14:paraId="37E28D86" w14:textId="77777777" w:rsidR="00B15DC0" w:rsidRPr="00D46670" w:rsidRDefault="00B15DC0" w:rsidP="00E5711C">
            <w:pPr>
              <w:keepNext/>
              <w:keepLines/>
            </w:pPr>
          </w:p>
        </w:tc>
      </w:tr>
      <w:tr w:rsidR="00B15DC0" w14:paraId="2B9F30C7" w14:textId="77777777" w:rsidTr="006E6A00">
        <w:trPr>
          <w:trHeight w:val="11225"/>
          <w:jc w:val="center"/>
        </w:trPr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2F790A16" w14:textId="77777777" w:rsidR="00B15DC0" w:rsidRPr="00D46670" w:rsidRDefault="00B15DC0" w:rsidP="00E5711C">
            <w:pPr>
              <w:keepNext/>
              <w:keepLines/>
              <w:jc w:val="center"/>
            </w:pPr>
          </w:p>
        </w:tc>
        <w:tc>
          <w:tcPr>
            <w:tcW w:w="2721" w:type="dxa"/>
            <w:vMerge/>
            <w:tcBorders>
              <w:bottom w:val="single" w:sz="4" w:space="0" w:color="auto"/>
            </w:tcBorders>
          </w:tcPr>
          <w:p w14:paraId="5184AA89" w14:textId="77777777" w:rsidR="00B15DC0" w:rsidRPr="00D46670" w:rsidRDefault="00B15DC0" w:rsidP="00E5711C">
            <w:pPr>
              <w:keepNext/>
              <w:keepLines/>
              <w:ind w:left="57" w:right="57"/>
            </w:pPr>
          </w:p>
        </w:tc>
        <w:tc>
          <w:tcPr>
            <w:tcW w:w="2891" w:type="dxa"/>
            <w:vMerge/>
            <w:tcBorders>
              <w:bottom w:val="single" w:sz="4" w:space="0" w:color="auto"/>
            </w:tcBorders>
          </w:tcPr>
          <w:p w14:paraId="698F1A9D" w14:textId="77777777" w:rsidR="00B15DC0" w:rsidRPr="00D46670" w:rsidRDefault="00B15DC0" w:rsidP="00E5711C">
            <w:pPr>
              <w:keepNext/>
              <w:keepLines/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  <w:right w:val="nil"/>
            </w:tcBorders>
          </w:tcPr>
          <w:p w14:paraId="31FCF8DD" w14:textId="77777777" w:rsidR="00B15DC0" w:rsidRPr="00D46670" w:rsidRDefault="00B15DC0" w:rsidP="00E5711C">
            <w:pPr>
              <w:keepNext/>
              <w:keepLines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40B7A" w14:textId="77777777" w:rsidR="00B15DC0" w:rsidRPr="00D46670" w:rsidRDefault="00B15DC0" w:rsidP="00E5711C">
            <w:pPr>
              <w:keepNext/>
              <w:keepLines/>
              <w:spacing w:before="120" w:after="120"/>
              <w:jc w:val="center"/>
            </w:pPr>
            <w:r w:rsidRPr="00D46670">
              <w:t>С информацией ознакомлен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</w:tcBorders>
          </w:tcPr>
          <w:p w14:paraId="57993550" w14:textId="77777777" w:rsidR="00B15DC0" w:rsidRPr="00D46670" w:rsidRDefault="00B15DC0" w:rsidP="00E5711C">
            <w:pPr>
              <w:keepNext/>
              <w:keepLines/>
            </w:pPr>
          </w:p>
        </w:tc>
      </w:tr>
      <w:tr w:rsidR="00A81C1F" w14:paraId="1008BC46" w14:textId="77777777" w:rsidTr="006E6A00">
        <w:trPr>
          <w:trHeight w:val="10148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7786270" w14:textId="77777777" w:rsidR="00A81C1F" w:rsidRPr="00D46670" w:rsidRDefault="00A81C1F" w:rsidP="009F1A35">
            <w:pPr>
              <w:keepNext/>
              <w:keepLines/>
              <w:spacing w:before="120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44D46945" w14:textId="77777777" w:rsidR="006E6A00" w:rsidRDefault="006E6A00" w:rsidP="006E6A00">
            <w:pPr>
              <w:spacing w:before="120"/>
              <w:ind w:left="57" w:right="57" w:firstLine="227"/>
            </w:pPr>
            <w:r>
              <w:t>информация об оплате расходов, связанных с доставкой выплат по договору ДС за счет средств пенсионных резервов, подлежащих выплате участнику (если предусмотрено условиями договора ДС);</w:t>
            </w:r>
          </w:p>
          <w:p w14:paraId="23D75EAD" w14:textId="3AFF1CFA" w:rsidR="006E6A00" w:rsidRDefault="006E6A00" w:rsidP="006E6A00">
            <w:pPr>
              <w:ind w:left="57" w:right="57" w:firstLine="227"/>
            </w:pPr>
            <w:r>
              <w:t xml:space="preserve">информация о праве на получение государственной поддержки формирования долгосрочных сбережений в виде дополнительных стимулирующих взносов, о сроке осуществления государственной поддержки формирования </w:t>
            </w:r>
            <w:r w:rsidR="000D1096">
              <w:br/>
            </w:r>
            <w:r>
              <w:t xml:space="preserve">долгосрочных сбережений, </w:t>
            </w:r>
            <w:r w:rsidR="000D1096">
              <w:br/>
            </w:r>
            <w:r>
              <w:t>а также об условиях прекращения права на получение государственной поддержки формирования долгосрочных сбережений;</w:t>
            </w:r>
          </w:p>
          <w:p w14:paraId="006529F3" w14:textId="03688402" w:rsidR="009F1A35" w:rsidRPr="00D46670" w:rsidRDefault="006E6A00" w:rsidP="000D1096">
            <w:pPr>
              <w:spacing w:after="120"/>
              <w:ind w:left="57" w:right="57" w:firstLine="227"/>
            </w:pPr>
            <w:r>
              <w:t xml:space="preserve">информация о порядке и сроках отражения результатов размещения пенсионных резервов на пенсионном счете, включая информацию об </w:t>
            </w:r>
            <w:r w:rsidR="000D1096">
              <w:br/>
            </w:r>
            <w:r>
              <w:t xml:space="preserve">обязанности фонда осуществить гарантийное восполнение резервов покрытия пенсионных обязательств по </w:t>
            </w:r>
            <w:r w:rsidR="000D1096">
              <w:br/>
            </w:r>
            <w:r>
              <w:t>пенсионному счету, если суммарная величина результатов размещения пенсионных резервов за текущий период гарантийного восполнения, отраженная на пенсионном счете, является отрицательной величиной;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4406F8CA" w14:textId="77777777" w:rsidR="00A81C1F" w:rsidRPr="00D46670" w:rsidRDefault="00A81C1F" w:rsidP="00E5711C">
            <w:pPr>
              <w:keepNext/>
              <w:keepLines/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8328FC" w14:textId="77777777" w:rsidR="00A81C1F" w:rsidRPr="00D46670" w:rsidRDefault="00A81C1F" w:rsidP="00E5711C">
            <w:pPr>
              <w:keepNext/>
              <w:keepLines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83E56" w14:textId="77777777" w:rsidR="00A81C1F" w:rsidRPr="00D46670" w:rsidRDefault="00A81C1F" w:rsidP="00E5711C">
            <w:pPr>
              <w:keepNext/>
              <w:keepLines/>
              <w:spacing w:before="120" w:after="120"/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0C4D92" w14:textId="77777777" w:rsidR="00A81C1F" w:rsidRPr="00D46670" w:rsidRDefault="00A81C1F" w:rsidP="00E5711C">
            <w:pPr>
              <w:keepNext/>
              <w:keepLines/>
            </w:pPr>
          </w:p>
        </w:tc>
      </w:tr>
      <w:tr w:rsidR="006E6A00" w14:paraId="776F4128" w14:textId="77777777" w:rsidTr="003533BC">
        <w:trPr>
          <w:trHeight w:val="10375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4D5CA4D" w14:textId="77777777" w:rsidR="006E6A00" w:rsidRPr="00D46670" w:rsidRDefault="006E6A00" w:rsidP="006E6A00">
            <w:pPr>
              <w:keepNext/>
              <w:keepLines/>
              <w:spacing w:before="120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1DA90D0A" w14:textId="007647D8" w:rsidR="006E6A00" w:rsidRDefault="006E6A00" w:rsidP="000D1096">
            <w:pPr>
              <w:spacing w:before="120"/>
              <w:ind w:left="57" w:right="57" w:firstLine="227"/>
            </w:pPr>
            <w:r>
              <w:t>информация о порядке прекращения договора ДС, включая условия прекращения договора, порядок расчета выкупной суммы, в том числе информация о том, что в случае обращения за выплатой выкупной сумм</w:t>
            </w:r>
            <w:r w:rsidR="001F2AEB">
              <w:t>ы</w:t>
            </w:r>
            <w:r>
              <w:t xml:space="preserve"> (кроме выплаты выкупной суммы при наличии особых жизненных ситуаций) до назначения выплаты по договору долгосрочных сбережений </w:t>
            </w:r>
            <w:r w:rsidR="000D1096">
              <w:br/>
            </w:r>
            <w:r>
              <w:t>единовременный взнос, дополнительные стимулирующие взносы и результат их размещения не входят в выкупную сумму;</w:t>
            </w:r>
          </w:p>
          <w:p w14:paraId="7965F15A" w14:textId="41602A82" w:rsidR="006E6A00" w:rsidRDefault="006E6A00" w:rsidP="006E6A00">
            <w:pPr>
              <w:ind w:left="57" w:right="57" w:firstLine="227"/>
            </w:pPr>
            <w:r>
              <w:t>информация о праве участника расторгнуть договор ДС и вернуть уплаченные им сберегательные взносы в полном объеме, о сроке, в течение которого можно воспользоваться правом на расторжение договора ДС и возврат уплаченных им сберегательных взносов в полном объеме</w:t>
            </w:r>
            <w:r w:rsidR="001F2AEB">
              <w:t>,</w:t>
            </w:r>
            <w:r>
              <w:t xml:space="preserve"> и о порядке подачи заявления о расторжении договора ДС (если предусмотрено условиями договора ДС);</w:t>
            </w:r>
          </w:p>
          <w:p w14:paraId="56E8F6CA" w14:textId="0E586ABB" w:rsidR="006E6A00" w:rsidRDefault="006E6A00" w:rsidP="006E6A00">
            <w:pPr>
              <w:ind w:left="57" w:right="57" w:firstLine="227"/>
            </w:pPr>
            <w:r>
              <w:t xml:space="preserve">информация о праве участника обратиться в </w:t>
            </w:r>
            <w:r w:rsidR="000D1096">
              <w:br/>
            </w:r>
            <w:r>
              <w:t xml:space="preserve">фонд за выплатой выкупной суммы при наступлении особых жизненных </w:t>
            </w:r>
            <w:r w:rsidR="000D1096">
              <w:br/>
            </w:r>
            <w:r>
              <w:t>ситуаций без расторжения договора ДС;</w:t>
            </w:r>
          </w:p>
          <w:p w14:paraId="42508F34" w14:textId="77777777" w:rsidR="006E6A00" w:rsidRDefault="006E6A00" w:rsidP="006E6A00">
            <w:pPr>
              <w:ind w:left="57" w:right="57" w:firstLine="227"/>
            </w:pPr>
            <w:r>
              <w:t>порядок и сроки передачи средств по договору ДС в другой фонд;</w:t>
            </w:r>
          </w:p>
          <w:p w14:paraId="68BEB207" w14:textId="2792A658" w:rsidR="006E6A00" w:rsidRDefault="006E6A00" w:rsidP="003533BC">
            <w:pPr>
              <w:spacing w:after="120"/>
              <w:ind w:left="57" w:right="57" w:firstLine="227"/>
            </w:pPr>
            <w:r>
              <w:t>информация о праве правопреемника участника на получение выкупной суммы в случае смерти участника, а также порядок реализации указанного права, в том числе порядок расчета выкупной суммы;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76C0B060" w14:textId="77777777" w:rsidR="006E6A00" w:rsidRPr="00D46670" w:rsidRDefault="006E6A00" w:rsidP="006E6A00">
            <w:pPr>
              <w:keepNext/>
              <w:keepLines/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3B3A0D" w14:textId="77777777" w:rsidR="006E6A00" w:rsidRPr="00D46670" w:rsidRDefault="006E6A00" w:rsidP="006E6A00">
            <w:pPr>
              <w:keepNext/>
              <w:keepLines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EE335" w14:textId="77777777" w:rsidR="006E6A00" w:rsidRPr="00D46670" w:rsidRDefault="006E6A00" w:rsidP="006E6A00">
            <w:pPr>
              <w:keepNext/>
              <w:keepLines/>
              <w:spacing w:before="120" w:after="120"/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CF43F8" w14:textId="77777777" w:rsidR="006E6A00" w:rsidRPr="00D46670" w:rsidRDefault="006E6A00" w:rsidP="006E6A00">
            <w:pPr>
              <w:keepNext/>
              <w:keepLines/>
            </w:pPr>
          </w:p>
        </w:tc>
      </w:tr>
      <w:tr w:rsidR="006E6A00" w14:paraId="109803CB" w14:textId="77777777" w:rsidTr="006E6A00">
        <w:trPr>
          <w:trHeight w:val="6917"/>
          <w:jc w:val="center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BF2B772" w14:textId="77777777" w:rsidR="006E6A00" w:rsidRPr="00D46670" w:rsidRDefault="006E6A00" w:rsidP="006E6A00">
            <w:pPr>
              <w:keepNext/>
              <w:keepLines/>
              <w:spacing w:before="120"/>
              <w:jc w:val="center"/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681ED9E7" w14:textId="3B1AF88F" w:rsidR="006E6A00" w:rsidRDefault="006E6A00" w:rsidP="006E6A00">
            <w:pPr>
              <w:spacing w:before="120"/>
              <w:ind w:left="57" w:right="57" w:firstLine="227"/>
            </w:pPr>
            <w:r>
              <w:t xml:space="preserve">информация о налогообложении сберегательных взносов и выплат по договорам ДС участникам фонда и их правопреемникам с примерами расчета налога </w:t>
            </w:r>
            <w:r w:rsidR="000D1096">
              <w:br/>
            </w:r>
            <w:r>
              <w:t xml:space="preserve">на доходы физических лиц при осуществлении выплат по договору ДС участникам фонда и при выплате выкупной суммы </w:t>
            </w:r>
            <w:r w:rsidR="000D1096">
              <w:br/>
            </w:r>
            <w:r>
              <w:t xml:space="preserve">участникам или их правопреемникам, с указанием обязанности фонда в случаях, когда он является налоговым </w:t>
            </w:r>
            <w:r w:rsidR="000D1096">
              <w:br/>
            </w:r>
            <w:r>
              <w:t xml:space="preserve">агентом, удержать налог, а также о предоставлении налогового вычета по </w:t>
            </w:r>
            <w:r w:rsidR="000D1096">
              <w:br/>
            </w:r>
            <w:r>
              <w:t>налогу на доходы физических лиц при уплате сберегательных взносов по договору ДС;</w:t>
            </w:r>
          </w:p>
          <w:p w14:paraId="4974635C" w14:textId="029A52AE" w:rsidR="006E6A00" w:rsidRDefault="006E6A00" w:rsidP="006E6A00">
            <w:pPr>
              <w:ind w:left="57" w:right="57" w:firstLine="227"/>
            </w:pPr>
            <w:r>
              <w:t>информация об участии фонда в системе гарантирования прав участников, о гарантийных случаях, а также о порядке определения размера гарантийного возмещения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11149D30" w14:textId="77777777" w:rsidR="006E6A00" w:rsidRPr="00D46670" w:rsidRDefault="006E6A00" w:rsidP="006E6A00">
            <w:pPr>
              <w:keepNext/>
              <w:keepLines/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DEE8F7" w14:textId="77777777" w:rsidR="006E6A00" w:rsidRPr="00D46670" w:rsidRDefault="006E6A00" w:rsidP="006E6A00">
            <w:pPr>
              <w:keepNext/>
              <w:keepLines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C4438" w14:textId="77777777" w:rsidR="006E6A00" w:rsidRPr="00D46670" w:rsidRDefault="006E6A00" w:rsidP="006E6A00">
            <w:pPr>
              <w:keepNext/>
              <w:keepLines/>
              <w:spacing w:before="120" w:after="120"/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F1CED2" w14:textId="77777777" w:rsidR="006E6A00" w:rsidRPr="00D46670" w:rsidRDefault="006E6A00" w:rsidP="006E6A00">
            <w:pPr>
              <w:keepNext/>
              <w:keepLines/>
            </w:pPr>
          </w:p>
        </w:tc>
      </w:tr>
      <w:tr w:rsidR="006E6A00" w14:paraId="49889E37" w14:textId="77777777" w:rsidTr="006E6A00">
        <w:trPr>
          <w:trHeight w:val="425"/>
          <w:jc w:val="center"/>
        </w:trPr>
        <w:tc>
          <w:tcPr>
            <w:tcW w:w="794" w:type="dxa"/>
            <w:vMerge w:val="restart"/>
            <w:tcBorders>
              <w:bottom w:val="nil"/>
            </w:tcBorders>
          </w:tcPr>
          <w:p w14:paraId="5F851EBF" w14:textId="4C0E9A23" w:rsidR="006E6A00" w:rsidRPr="00D46670" w:rsidRDefault="006E6A00" w:rsidP="006E6A00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14:paraId="10F96539" w14:textId="205F5FA9" w:rsidR="006E6A00" w:rsidRPr="00D46670" w:rsidRDefault="006E6A00" w:rsidP="006E6A00">
            <w:pPr>
              <w:spacing w:before="120" w:after="240"/>
              <w:ind w:left="57" w:right="57" w:firstLine="227"/>
            </w:pPr>
            <w:r>
              <w:t>Информация о том, что права и обязанности по договору ДС возникают у фонда</w:t>
            </w:r>
          </w:p>
        </w:tc>
        <w:tc>
          <w:tcPr>
            <w:tcW w:w="2891" w:type="dxa"/>
            <w:vMerge w:val="restart"/>
            <w:tcBorders>
              <w:top w:val="nil"/>
            </w:tcBorders>
          </w:tcPr>
          <w:p w14:paraId="4AACFB65" w14:textId="77777777" w:rsidR="006E6A00" w:rsidRPr="00D46670" w:rsidRDefault="006E6A00" w:rsidP="006E6A00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bottom w:val="nil"/>
              <w:right w:val="nil"/>
            </w:tcBorders>
          </w:tcPr>
          <w:p w14:paraId="69353AAA" w14:textId="77777777" w:rsidR="006E6A00" w:rsidRPr="00D46670" w:rsidRDefault="006E6A00" w:rsidP="006E6A00">
            <w:pPr>
              <w:keepNext/>
              <w:keepLines/>
            </w:pPr>
          </w:p>
        </w:tc>
        <w:tc>
          <w:tcPr>
            <w:tcW w:w="1928" w:type="dxa"/>
            <w:tcBorders>
              <w:left w:val="nil"/>
              <w:bottom w:val="single" w:sz="4" w:space="0" w:color="auto"/>
              <w:right w:val="nil"/>
            </w:tcBorders>
          </w:tcPr>
          <w:p w14:paraId="3A1877F4" w14:textId="77777777" w:rsidR="006E6A00" w:rsidRPr="00D46670" w:rsidRDefault="006E6A00" w:rsidP="006E6A00">
            <w:pPr>
              <w:keepNext/>
              <w:keepLines/>
              <w:jc w:val="center"/>
            </w:pPr>
          </w:p>
        </w:tc>
        <w:tc>
          <w:tcPr>
            <w:tcW w:w="397" w:type="dxa"/>
            <w:tcBorders>
              <w:left w:val="nil"/>
              <w:bottom w:val="nil"/>
            </w:tcBorders>
          </w:tcPr>
          <w:p w14:paraId="57BEB091" w14:textId="77777777" w:rsidR="006E6A00" w:rsidRPr="00D46670" w:rsidRDefault="006E6A00" w:rsidP="006E6A00">
            <w:pPr>
              <w:keepNext/>
              <w:keepLines/>
            </w:pPr>
          </w:p>
        </w:tc>
      </w:tr>
      <w:tr w:rsidR="006E6A00" w14:paraId="7B0878DB" w14:textId="77777777" w:rsidTr="006E6A00">
        <w:trPr>
          <w:trHeight w:hRule="exact" w:val="425"/>
          <w:jc w:val="center"/>
        </w:trPr>
        <w:tc>
          <w:tcPr>
            <w:tcW w:w="794" w:type="dxa"/>
            <w:vMerge/>
            <w:tcBorders>
              <w:bottom w:val="nil"/>
            </w:tcBorders>
          </w:tcPr>
          <w:p w14:paraId="192A8145" w14:textId="77777777" w:rsidR="006E6A00" w:rsidRPr="00D46670" w:rsidRDefault="006E6A00" w:rsidP="006E6A00">
            <w:pPr>
              <w:jc w:val="center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14:paraId="0EADED04" w14:textId="77777777" w:rsidR="006E6A00" w:rsidRPr="00D46670" w:rsidRDefault="006E6A00" w:rsidP="006E6A00">
            <w:pPr>
              <w:ind w:left="57" w:right="57"/>
            </w:pPr>
          </w:p>
        </w:tc>
        <w:tc>
          <w:tcPr>
            <w:tcW w:w="2891" w:type="dxa"/>
            <w:vMerge/>
          </w:tcPr>
          <w:p w14:paraId="416A67BA" w14:textId="77777777" w:rsidR="006E6A00" w:rsidRPr="00D46670" w:rsidRDefault="006E6A00" w:rsidP="006E6A00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nil"/>
              <w:right w:val="single" w:sz="4" w:space="0" w:color="auto"/>
            </w:tcBorders>
          </w:tcPr>
          <w:p w14:paraId="2A1A2A08" w14:textId="77777777" w:rsidR="006E6A00" w:rsidRPr="00D46670" w:rsidRDefault="006E6A00" w:rsidP="006E6A00">
            <w:pPr>
              <w:keepNext/>
              <w:keepLines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381E" w14:textId="77777777" w:rsidR="006E6A00" w:rsidRPr="00D46670" w:rsidRDefault="006E6A00" w:rsidP="006E6A00">
            <w:pPr>
              <w:keepNext/>
              <w:keepLines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14:paraId="3734AE1E" w14:textId="77777777" w:rsidR="006E6A00" w:rsidRPr="00D46670" w:rsidRDefault="006E6A00" w:rsidP="006E6A00">
            <w:pPr>
              <w:keepNext/>
              <w:keepLines/>
            </w:pPr>
          </w:p>
        </w:tc>
      </w:tr>
      <w:tr w:rsidR="006E6A00" w14:paraId="2C1B7E2E" w14:textId="77777777" w:rsidTr="006E6A00">
        <w:trPr>
          <w:jc w:val="center"/>
        </w:trPr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0F116019" w14:textId="77777777" w:rsidR="006E6A00" w:rsidRPr="00D46670" w:rsidRDefault="006E6A00" w:rsidP="006E6A00">
            <w:pPr>
              <w:jc w:val="center"/>
            </w:pPr>
          </w:p>
        </w:tc>
        <w:tc>
          <w:tcPr>
            <w:tcW w:w="2721" w:type="dxa"/>
            <w:vMerge/>
            <w:tcBorders>
              <w:bottom w:val="single" w:sz="4" w:space="0" w:color="auto"/>
            </w:tcBorders>
          </w:tcPr>
          <w:p w14:paraId="28A06059" w14:textId="77777777" w:rsidR="006E6A00" w:rsidRPr="00D46670" w:rsidRDefault="006E6A00" w:rsidP="006E6A00">
            <w:pPr>
              <w:ind w:left="57" w:right="57"/>
            </w:pPr>
          </w:p>
        </w:tc>
        <w:tc>
          <w:tcPr>
            <w:tcW w:w="2891" w:type="dxa"/>
            <w:vMerge/>
            <w:tcBorders>
              <w:bottom w:val="single" w:sz="4" w:space="0" w:color="auto"/>
            </w:tcBorders>
          </w:tcPr>
          <w:p w14:paraId="2B9CF1D4" w14:textId="77777777" w:rsidR="006E6A00" w:rsidRPr="00D46670" w:rsidRDefault="006E6A00" w:rsidP="006E6A00">
            <w:pPr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  <w:right w:val="nil"/>
            </w:tcBorders>
          </w:tcPr>
          <w:p w14:paraId="3EF60E09" w14:textId="77777777" w:rsidR="006E6A00" w:rsidRPr="00D46670" w:rsidRDefault="006E6A00" w:rsidP="006E6A00">
            <w:pPr>
              <w:keepNext/>
              <w:keepLines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535B5" w14:textId="77777777" w:rsidR="006E6A00" w:rsidRPr="00D46670" w:rsidRDefault="006E6A00" w:rsidP="006E6A00">
            <w:pPr>
              <w:keepNext/>
              <w:keepLines/>
              <w:spacing w:before="120" w:after="120"/>
              <w:jc w:val="center"/>
            </w:pPr>
            <w:r w:rsidRPr="00D46670">
              <w:t>С информацией ознакомлен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</w:tcBorders>
          </w:tcPr>
          <w:p w14:paraId="116A0A58" w14:textId="77777777" w:rsidR="006E6A00" w:rsidRPr="00D46670" w:rsidRDefault="006E6A00" w:rsidP="006E6A00">
            <w:pPr>
              <w:keepNext/>
              <w:keepLines/>
            </w:pPr>
          </w:p>
        </w:tc>
      </w:tr>
      <w:tr w:rsidR="006E6A00" w14:paraId="62EB300D" w14:textId="77777777" w:rsidTr="003533BC">
        <w:trPr>
          <w:cantSplit/>
          <w:trHeight w:val="425"/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bottom w:val="nil"/>
            </w:tcBorders>
          </w:tcPr>
          <w:p w14:paraId="0327F732" w14:textId="6652F9D5" w:rsidR="006E6A00" w:rsidRPr="00D46670" w:rsidRDefault="006E6A00" w:rsidP="003533BC">
            <w:pPr>
              <w:keepNext/>
              <w:keepLines/>
              <w:spacing w:before="120" w:after="120"/>
              <w:jc w:val="center"/>
            </w:pPr>
            <w:r>
              <w:lastRenderedPageBreak/>
              <w:t>4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bottom w:val="nil"/>
            </w:tcBorders>
          </w:tcPr>
          <w:p w14:paraId="5B4E4398" w14:textId="77777777" w:rsidR="006E6A00" w:rsidRDefault="006E6A00" w:rsidP="003533BC">
            <w:pPr>
              <w:keepNext/>
              <w:keepLines/>
              <w:spacing w:before="120"/>
              <w:ind w:left="57" w:right="57" w:firstLine="227"/>
            </w:pPr>
            <w:r>
              <w:t>Информация о способах и об адресах направления обращений (в том числе жалоб) физических лиц, о порядке разрешения споров:</w:t>
            </w:r>
          </w:p>
          <w:p w14:paraId="6484179A" w14:textId="2136126C" w:rsidR="006E6A00" w:rsidRDefault="006E6A00" w:rsidP="003533BC">
            <w:pPr>
              <w:keepNext/>
              <w:keepLines/>
              <w:ind w:left="57" w:right="57" w:firstLine="227"/>
            </w:pPr>
            <w:r>
              <w:t xml:space="preserve">способы и адреса направления обращений </w:t>
            </w:r>
            <w:r w:rsidR="00334646">
              <w:br/>
            </w:r>
            <w:r>
              <w:t>(в том числе жалоб) физических лиц в фонд, в том числе посредством их направления в кредитную организацию, действующую от имени и (или) по поручению фонда, в саморегулируемую организацию в сфере финансового рынка, объединяющую фонды, в Банк России;</w:t>
            </w:r>
          </w:p>
          <w:p w14:paraId="2F42E7EC" w14:textId="17256C0E" w:rsidR="006E6A00" w:rsidRPr="00D46670" w:rsidRDefault="006E6A00" w:rsidP="003533BC">
            <w:pPr>
              <w:keepNext/>
              <w:keepLines/>
              <w:spacing w:after="120"/>
              <w:ind w:left="57" w:right="57" w:firstLine="227"/>
            </w:pPr>
            <w:r>
              <w:t xml:space="preserve">сведения о наличии возможности и способах досудебного (внесудебного) урегулирования спора (включая порядок </w:t>
            </w:r>
            <w:r w:rsidR="00334646">
              <w:br/>
            </w:r>
            <w:r>
              <w:t xml:space="preserve">обращения к уполномоченному по </w:t>
            </w:r>
            <w:r w:rsidR="00B11EBC">
              <w:br/>
            </w:r>
            <w:r>
              <w:t xml:space="preserve">правам потребителей финансовых услуг), процедуре медиации (при </w:t>
            </w:r>
            <w:r w:rsidR="00B11EBC">
              <w:br/>
            </w:r>
            <w:r>
              <w:t>их наличии)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</w:tcBorders>
          </w:tcPr>
          <w:p w14:paraId="34C80967" w14:textId="77777777" w:rsidR="006E6A00" w:rsidRPr="00D46670" w:rsidRDefault="006E6A00" w:rsidP="003533BC">
            <w:pPr>
              <w:keepNext/>
              <w:keepLines/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single" w:sz="4" w:space="0" w:color="auto"/>
              <w:bottom w:val="nil"/>
              <w:right w:val="nil"/>
            </w:tcBorders>
          </w:tcPr>
          <w:p w14:paraId="791D7587" w14:textId="77777777" w:rsidR="006E6A00" w:rsidRPr="00D46670" w:rsidRDefault="006E6A00" w:rsidP="003533BC">
            <w:pPr>
              <w:keepNext/>
              <w:keepLines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2B653" w14:textId="77777777" w:rsidR="006E6A00" w:rsidRPr="00D46670" w:rsidRDefault="006E6A00" w:rsidP="003533BC">
            <w:pPr>
              <w:keepNext/>
              <w:keepLines/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</w:tcBorders>
          </w:tcPr>
          <w:p w14:paraId="068978C7" w14:textId="77777777" w:rsidR="006E6A00" w:rsidRPr="00D46670" w:rsidRDefault="006E6A00" w:rsidP="003533BC">
            <w:pPr>
              <w:keepNext/>
              <w:keepLines/>
            </w:pPr>
          </w:p>
        </w:tc>
      </w:tr>
      <w:tr w:rsidR="006E6A00" w14:paraId="067B122D" w14:textId="77777777" w:rsidTr="003533BC">
        <w:trPr>
          <w:cantSplit/>
          <w:trHeight w:hRule="exact" w:val="425"/>
          <w:jc w:val="center"/>
        </w:trPr>
        <w:tc>
          <w:tcPr>
            <w:tcW w:w="794" w:type="dxa"/>
            <w:vMerge/>
            <w:tcBorders>
              <w:bottom w:val="nil"/>
            </w:tcBorders>
          </w:tcPr>
          <w:p w14:paraId="739F40AE" w14:textId="77777777" w:rsidR="006E6A00" w:rsidRPr="00D46670" w:rsidRDefault="006E6A00" w:rsidP="003533BC">
            <w:pPr>
              <w:keepNext/>
              <w:keepLines/>
              <w:jc w:val="center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14:paraId="3F814ADF" w14:textId="77777777" w:rsidR="006E6A00" w:rsidRPr="00D46670" w:rsidRDefault="006E6A00" w:rsidP="003533BC">
            <w:pPr>
              <w:keepNext/>
              <w:keepLines/>
              <w:ind w:left="57" w:right="57"/>
            </w:pPr>
          </w:p>
        </w:tc>
        <w:tc>
          <w:tcPr>
            <w:tcW w:w="2891" w:type="dxa"/>
            <w:vMerge/>
          </w:tcPr>
          <w:p w14:paraId="5E2229FF" w14:textId="77777777" w:rsidR="006E6A00" w:rsidRPr="00D46670" w:rsidRDefault="006E6A00" w:rsidP="003533BC">
            <w:pPr>
              <w:keepNext/>
              <w:keepLines/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nil"/>
              <w:right w:val="single" w:sz="4" w:space="0" w:color="auto"/>
            </w:tcBorders>
          </w:tcPr>
          <w:p w14:paraId="5FB2056F" w14:textId="77777777" w:rsidR="006E6A00" w:rsidRPr="00D46670" w:rsidRDefault="006E6A00" w:rsidP="003533BC">
            <w:pPr>
              <w:keepNext/>
              <w:keepLines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5F72" w14:textId="77777777" w:rsidR="006E6A00" w:rsidRPr="00D46670" w:rsidRDefault="006E6A00" w:rsidP="003533BC">
            <w:pPr>
              <w:keepNext/>
              <w:keepLines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</w:tcBorders>
          </w:tcPr>
          <w:p w14:paraId="23657660" w14:textId="77777777" w:rsidR="006E6A00" w:rsidRPr="00D46670" w:rsidRDefault="006E6A00" w:rsidP="003533BC">
            <w:pPr>
              <w:keepNext/>
              <w:keepLines/>
            </w:pPr>
          </w:p>
        </w:tc>
      </w:tr>
      <w:tr w:rsidR="006E6A00" w14:paraId="1CCCD630" w14:textId="77777777" w:rsidTr="003533BC">
        <w:trPr>
          <w:cantSplit/>
          <w:jc w:val="center"/>
        </w:trPr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3A74FEE5" w14:textId="77777777" w:rsidR="006E6A00" w:rsidRPr="00D46670" w:rsidRDefault="006E6A00" w:rsidP="003533BC">
            <w:pPr>
              <w:keepNext/>
              <w:keepLines/>
              <w:jc w:val="center"/>
            </w:pPr>
          </w:p>
        </w:tc>
        <w:tc>
          <w:tcPr>
            <w:tcW w:w="2721" w:type="dxa"/>
            <w:vMerge/>
            <w:tcBorders>
              <w:bottom w:val="single" w:sz="4" w:space="0" w:color="auto"/>
            </w:tcBorders>
          </w:tcPr>
          <w:p w14:paraId="35637A06" w14:textId="77777777" w:rsidR="006E6A00" w:rsidRPr="00D46670" w:rsidRDefault="006E6A00" w:rsidP="003533BC">
            <w:pPr>
              <w:keepNext/>
              <w:keepLines/>
              <w:ind w:left="57" w:right="57"/>
            </w:pPr>
          </w:p>
        </w:tc>
        <w:tc>
          <w:tcPr>
            <w:tcW w:w="2891" w:type="dxa"/>
            <w:vMerge/>
            <w:tcBorders>
              <w:bottom w:val="single" w:sz="4" w:space="0" w:color="auto"/>
            </w:tcBorders>
          </w:tcPr>
          <w:p w14:paraId="444D020F" w14:textId="77777777" w:rsidR="006E6A00" w:rsidRPr="00D46670" w:rsidRDefault="006E6A00" w:rsidP="003533BC">
            <w:pPr>
              <w:keepNext/>
              <w:keepLines/>
              <w:spacing w:before="120" w:after="120"/>
              <w:ind w:left="57" w:right="57"/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  <w:right w:val="nil"/>
            </w:tcBorders>
          </w:tcPr>
          <w:p w14:paraId="5954D709" w14:textId="77777777" w:rsidR="006E6A00" w:rsidRPr="00D46670" w:rsidRDefault="006E6A00" w:rsidP="003533BC">
            <w:pPr>
              <w:keepNext/>
              <w:keepLines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A4917" w14:textId="77777777" w:rsidR="006E6A00" w:rsidRPr="00D46670" w:rsidRDefault="006E6A00" w:rsidP="003533BC">
            <w:pPr>
              <w:keepNext/>
              <w:keepLines/>
              <w:spacing w:before="120" w:after="120"/>
              <w:jc w:val="center"/>
            </w:pPr>
            <w:r w:rsidRPr="00D46670">
              <w:t>С информацией ознакомлен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</w:tcBorders>
          </w:tcPr>
          <w:p w14:paraId="3962C282" w14:textId="77777777" w:rsidR="006E6A00" w:rsidRPr="00D46670" w:rsidRDefault="006E6A00" w:rsidP="003533BC">
            <w:pPr>
              <w:keepNext/>
              <w:keepLines/>
            </w:pPr>
          </w:p>
        </w:tc>
      </w:tr>
    </w:tbl>
    <w:p w14:paraId="2EDB91A5" w14:textId="7BDD0B2F" w:rsidR="004B4A6E" w:rsidRPr="00332D8F" w:rsidRDefault="004B4A6E"/>
    <w:sectPr w:rsidR="004B4A6E" w:rsidRPr="00332D8F" w:rsidSect="003466B2">
      <w:headerReference w:type="default" r:id="rId7"/>
      <w:footnotePr>
        <w:numStart w:val="2"/>
      </w:footnotePr>
      <w:pgSz w:w="11907" w:h="16840" w:code="9"/>
      <w:pgMar w:top="1134" w:right="1134" w:bottom="1134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F3556" w14:textId="77777777" w:rsidR="0045180F" w:rsidRDefault="0045180F">
      <w:r>
        <w:separator/>
      </w:r>
    </w:p>
  </w:endnote>
  <w:endnote w:type="continuationSeparator" w:id="0">
    <w:p w14:paraId="71572AAD" w14:textId="77777777" w:rsidR="0045180F" w:rsidRDefault="0045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CC69" w14:textId="77777777" w:rsidR="0045180F" w:rsidRDefault="0045180F">
      <w:r>
        <w:separator/>
      </w:r>
    </w:p>
  </w:footnote>
  <w:footnote w:type="continuationSeparator" w:id="0">
    <w:p w14:paraId="1D78A0DF" w14:textId="77777777" w:rsidR="0045180F" w:rsidRDefault="00451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7D5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Start w:val="2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64EC9"/>
    <w:rsid w:val="00095DE3"/>
    <w:rsid w:val="000C6EE5"/>
    <w:rsid w:val="000D1096"/>
    <w:rsid w:val="000D70DB"/>
    <w:rsid w:val="000E6D47"/>
    <w:rsid w:val="000E7BEB"/>
    <w:rsid w:val="00110579"/>
    <w:rsid w:val="0011738B"/>
    <w:rsid w:val="00133BF7"/>
    <w:rsid w:val="00182531"/>
    <w:rsid w:val="001B14D9"/>
    <w:rsid w:val="001B3CA8"/>
    <w:rsid w:val="001C4440"/>
    <w:rsid w:val="001E4A7D"/>
    <w:rsid w:val="001E5FA8"/>
    <w:rsid w:val="001F2AEB"/>
    <w:rsid w:val="001F7D64"/>
    <w:rsid w:val="00232AFE"/>
    <w:rsid w:val="00261703"/>
    <w:rsid w:val="002936B5"/>
    <w:rsid w:val="002B00B5"/>
    <w:rsid w:val="00313204"/>
    <w:rsid w:val="00320CF8"/>
    <w:rsid w:val="00324588"/>
    <w:rsid w:val="00324AF9"/>
    <w:rsid w:val="00327535"/>
    <w:rsid w:val="00332D8F"/>
    <w:rsid w:val="00334646"/>
    <w:rsid w:val="003466B2"/>
    <w:rsid w:val="003533BC"/>
    <w:rsid w:val="0038618B"/>
    <w:rsid w:val="00395CDF"/>
    <w:rsid w:val="003B7C9C"/>
    <w:rsid w:val="003D7957"/>
    <w:rsid w:val="003E7C4B"/>
    <w:rsid w:val="00407D01"/>
    <w:rsid w:val="00415AAD"/>
    <w:rsid w:val="004445E9"/>
    <w:rsid w:val="004462A1"/>
    <w:rsid w:val="0045180F"/>
    <w:rsid w:val="0046795F"/>
    <w:rsid w:val="0048458E"/>
    <w:rsid w:val="004874FF"/>
    <w:rsid w:val="00492BEC"/>
    <w:rsid w:val="004B4A6E"/>
    <w:rsid w:val="004B6724"/>
    <w:rsid w:val="004C0545"/>
    <w:rsid w:val="004C27BD"/>
    <w:rsid w:val="004E244C"/>
    <w:rsid w:val="004E5446"/>
    <w:rsid w:val="005123BA"/>
    <w:rsid w:val="00570B07"/>
    <w:rsid w:val="005B3F6D"/>
    <w:rsid w:val="005C78F8"/>
    <w:rsid w:val="005F132C"/>
    <w:rsid w:val="006217FC"/>
    <w:rsid w:val="00622879"/>
    <w:rsid w:val="0064250D"/>
    <w:rsid w:val="00654648"/>
    <w:rsid w:val="006701DA"/>
    <w:rsid w:val="006942CC"/>
    <w:rsid w:val="006A0794"/>
    <w:rsid w:val="006A55D9"/>
    <w:rsid w:val="006B3432"/>
    <w:rsid w:val="006D0635"/>
    <w:rsid w:val="006E08EA"/>
    <w:rsid w:val="006E6A00"/>
    <w:rsid w:val="00724EA1"/>
    <w:rsid w:val="00726E69"/>
    <w:rsid w:val="007272F0"/>
    <w:rsid w:val="007772D9"/>
    <w:rsid w:val="007C09D2"/>
    <w:rsid w:val="007C0F62"/>
    <w:rsid w:val="007C33E4"/>
    <w:rsid w:val="007E1551"/>
    <w:rsid w:val="008378E3"/>
    <w:rsid w:val="00877138"/>
    <w:rsid w:val="008808F5"/>
    <w:rsid w:val="00884EEE"/>
    <w:rsid w:val="00885B23"/>
    <w:rsid w:val="00893699"/>
    <w:rsid w:val="008A42E6"/>
    <w:rsid w:val="008D7628"/>
    <w:rsid w:val="008E2E1B"/>
    <w:rsid w:val="008E344F"/>
    <w:rsid w:val="008E6859"/>
    <w:rsid w:val="00901F1A"/>
    <w:rsid w:val="00913093"/>
    <w:rsid w:val="00956890"/>
    <w:rsid w:val="009B01A7"/>
    <w:rsid w:val="009C3FFE"/>
    <w:rsid w:val="009C4858"/>
    <w:rsid w:val="009C48AD"/>
    <w:rsid w:val="009C6605"/>
    <w:rsid w:val="009C674D"/>
    <w:rsid w:val="009E14EA"/>
    <w:rsid w:val="009F1A35"/>
    <w:rsid w:val="009F59F7"/>
    <w:rsid w:val="00A02E37"/>
    <w:rsid w:val="00A15E4A"/>
    <w:rsid w:val="00A2172E"/>
    <w:rsid w:val="00A275E3"/>
    <w:rsid w:val="00A342DE"/>
    <w:rsid w:val="00A44A64"/>
    <w:rsid w:val="00A81C1F"/>
    <w:rsid w:val="00A963E2"/>
    <w:rsid w:val="00AB0F67"/>
    <w:rsid w:val="00AB141D"/>
    <w:rsid w:val="00AD1148"/>
    <w:rsid w:val="00AD17C0"/>
    <w:rsid w:val="00AE4874"/>
    <w:rsid w:val="00AF3972"/>
    <w:rsid w:val="00B053DA"/>
    <w:rsid w:val="00B11EBC"/>
    <w:rsid w:val="00B15DC0"/>
    <w:rsid w:val="00B233F4"/>
    <w:rsid w:val="00B42B25"/>
    <w:rsid w:val="00B66943"/>
    <w:rsid w:val="00BA14B7"/>
    <w:rsid w:val="00BE008B"/>
    <w:rsid w:val="00C02201"/>
    <w:rsid w:val="00C0393A"/>
    <w:rsid w:val="00C17DF6"/>
    <w:rsid w:val="00C42656"/>
    <w:rsid w:val="00C6186C"/>
    <w:rsid w:val="00CC4E37"/>
    <w:rsid w:val="00CE06A1"/>
    <w:rsid w:val="00CF422F"/>
    <w:rsid w:val="00D021CB"/>
    <w:rsid w:val="00D22352"/>
    <w:rsid w:val="00D34E46"/>
    <w:rsid w:val="00D41342"/>
    <w:rsid w:val="00D45D2F"/>
    <w:rsid w:val="00D46670"/>
    <w:rsid w:val="00D81CF1"/>
    <w:rsid w:val="00D925B7"/>
    <w:rsid w:val="00D9515D"/>
    <w:rsid w:val="00DA3F79"/>
    <w:rsid w:val="00DE3FC8"/>
    <w:rsid w:val="00E1651A"/>
    <w:rsid w:val="00E34577"/>
    <w:rsid w:val="00E479D2"/>
    <w:rsid w:val="00E54E5B"/>
    <w:rsid w:val="00E5711C"/>
    <w:rsid w:val="00E86775"/>
    <w:rsid w:val="00E90130"/>
    <w:rsid w:val="00E97154"/>
    <w:rsid w:val="00ED74B1"/>
    <w:rsid w:val="00EE404D"/>
    <w:rsid w:val="00F4584F"/>
    <w:rsid w:val="00F47663"/>
    <w:rsid w:val="00F81454"/>
    <w:rsid w:val="00FA0738"/>
    <w:rsid w:val="00FB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80D9B9"/>
  <w14:defaultImageDpi w14:val="0"/>
  <w15:docId w15:val="{58C3965F-58BE-4382-BA96-3C474C7A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E479D2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rsid w:val="00884EEE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884EEE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3E7C4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9A3A8-037B-4592-84D9-FB5A47C4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</cp:revision>
  <cp:lastPrinted>2024-11-15T11:22:00Z</cp:lastPrinted>
  <dcterms:created xsi:type="dcterms:W3CDTF">2024-11-15T11:32:00Z</dcterms:created>
  <dcterms:modified xsi:type="dcterms:W3CDTF">2024-11-15T11:32:00Z</dcterms:modified>
</cp:coreProperties>
</file>