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F5F0F" w14:textId="176E70CE" w:rsidR="00D45D2F" w:rsidRPr="002936B5" w:rsidRDefault="00D45D2F" w:rsidP="00862F37">
      <w:pPr>
        <w:spacing w:after="240"/>
        <w:ind w:left="4706"/>
      </w:pPr>
      <w:r w:rsidRPr="002936B5">
        <w:t xml:space="preserve">Приложение </w:t>
      </w:r>
      <w:r w:rsidR="001B14D9">
        <w:t>3</w:t>
      </w:r>
      <w:r w:rsidRPr="002936B5">
        <w:br/>
        <w:t>к Указанию Банка России</w:t>
      </w:r>
      <w:r w:rsidRPr="002936B5">
        <w:br/>
        <w:t xml:space="preserve">от </w:t>
      </w:r>
      <w:r>
        <w:t>1 октября</w:t>
      </w:r>
      <w:r w:rsidRPr="002936B5">
        <w:t xml:space="preserve"> 202</w:t>
      </w:r>
      <w:r>
        <w:t>4</w:t>
      </w:r>
      <w:r w:rsidRPr="002936B5">
        <w:t xml:space="preserve"> года № 6</w:t>
      </w:r>
      <w:r>
        <w:t>886</w:t>
      </w:r>
      <w:r w:rsidRPr="002936B5">
        <w:t>-У</w:t>
      </w:r>
      <w:r w:rsidRPr="002936B5">
        <w:br/>
        <w:t>«О минима</w:t>
      </w:r>
      <w:r>
        <w:t>льных (стандартных) требованиях</w:t>
      </w:r>
      <w:r>
        <w:br/>
      </w:r>
      <w:r w:rsidRPr="002936B5">
        <w:t xml:space="preserve">к объему и содержанию информации, предоставляемой кредитной организацией, действующей от своего имени при совершении сделки с физическим лицом по возмездному отчуждению ценных бумаг, при заключении договоров, являющихся производными финансовыми инструментами, либо действующей от имени и (или) по поручению некредитной финансовой организации при заключении </w:t>
      </w:r>
      <w:r>
        <w:br/>
      </w:r>
      <w:r w:rsidRPr="002936B5">
        <w:t xml:space="preserve">с физическим лицом договоров об оказании финансовых услуг, в том числе об их условиях </w:t>
      </w:r>
      <w:r>
        <w:br/>
      </w:r>
      <w:r w:rsidRPr="002936B5">
        <w:t xml:space="preserve">и рисках, связанных с их исполнением, а также </w:t>
      </w:r>
      <w:r>
        <w:br/>
      </w:r>
      <w:r w:rsidRPr="002936B5">
        <w:t>о форме, способах и порядке предоставления указанной информации»</w:t>
      </w:r>
    </w:p>
    <w:p w14:paraId="5D2DCC92" w14:textId="76EB113F" w:rsidR="00AD1148" w:rsidRDefault="00320CF8" w:rsidP="00D46670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14:paraId="0A5B49BE" w14:textId="46E9A196" w:rsidR="008808F5" w:rsidRDefault="00E34577" w:rsidP="001B14D9">
      <w:pPr>
        <w:spacing w:after="240"/>
        <w:jc w:val="center"/>
        <w:rPr>
          <w:sz w:val="26"/>
          <w:szCs w:val="26"/>
        </w:rPr>
      </w:pPr>
      <w:r w:rsidRPr="00324588">
        <w:rPr>
          <w:sz w:val="26"/>
          <w:szCs w:val="26"/>
        </w:rPr>
        <w:t xml:space="preserve">Информация, </w:t>
      </w:r>
      <w:r w:rsidR="00D46670" w:rsidRPr="00324588">
        <w:rPr>
          <w:sz w:val="26"/>
          <w:szCs w:val="26"/>
        </w:rPr>
        <w:br/>
      </w:r>
      <w:r w:rsidR="001B14D9" w:rsidRPr="00324588">
        <w:rPr>
          <w:sz w:val="26"/>
          <w:szCs w:val="26"/>
        </w:rPr>
        <w:t>предоставляемая кредитной организацией, действующей</w:t>
      </w:r>
      <w:r w:rsidR="00324588">
        <w:rPr>
          <w:sz w:val="26"/>
          <w:szCs w:val="26"/>
        </w:rPr>
        <w:t xml:space="preserve"> </w:t>
      </w:r>
      <w:r w:rsidR="00324588">
        <w:rPr>
          <w:sz w:val="26"/>
          <w:szCs w:val="26"/>
        </w:rPr>
        <w:br/>
      </w:r>
      <w:r w:rsidR="001B14D9" w:rsidRPr="00324588">
        <w:rPr>
          <w:sz w:val="26"/>
          <w:szCs w:val="26"/>
        </w:rPr>
        <w:t>от имени и (или) по поручению брокера, управляющего</w:t>
      </w:r>
      <w:r w:rsidR="00324588">
        <w:rPr>
          <w:sz w:val="26"/>
          <w:szCs w:val="26"/>
        </w:rPr>
        <w:t xml:space="preserve"> </w:t>
      </w:r>
      <w:r w:rsidR="00324588">
        <w:rPr>
          <w:sz w:val="26"/>
          <w:szCs w:val="26"/>
        </w:rPr>
        <w:br/>
      </w:r>
      <w:r w:rsidR="001B14D9" w:rsidRPr="00324588">
        <w:rPr>
          <w:sz w:val="26"/>
          <w:szCs w:val="26"/>
        </w:rPr>
        <w:t>или инвестиционного советника при заключении с физическим</w:t>
      </w:r>
      <w:r w:rsidR="00324588">
        <w:rPr>
          <w:sz w:val="26"/>
          <w:szCs w:val="26"/>
        </w:rPr>
        <w:t xml:space="preserve"> </w:t>
      </w:r>
      <w:r w:rsidR="00324588">
        <w:rPr>
          <w:sz w:val="26"/>
          <w:szCs w:val="26"/>
        </w:rPr>
        <w:br/>
      </w:r>
      <w:r w:rsidR="001B14D9" w:rsidRPr="00324588">
        <w:rPr>
          <w:sz w:val="26"/>
          <w:szCs w:val="26"/>
        </w:rPr>
        <w:t>лицом договора о брокерском обслуживании, договора</w:t>
      </w:r>
      <w:r w:rsidR="00324588">
        <w:rPr>
          <w:sz w:val="26"/>
          <w:szCs w:val="26"/>
        </w:rPr>
        <w:t xml:space="preserve"> </w:t>
      </w:r>
      <w:r w:rsidR="00324588">
        <w:rPr>
          <w:sz w:val="26"/>
          <w:szCs w:val="26"/>
        </w:rPr>
        <w:br/>
      </w:r>
      <w:r w:rsidR="001B14D9" w:rsidRPr="00324588">
        <w:rPr>
          <w:sz w:val="26"/>
          <w:szCs w:val="26"/>
        </w:rPr>
        <w:t>доверительного управления или договора</w:t>
      </w:r>
      <w:r w:rsidR="00324588">
        <w:rPr>
          <w:sz w:val="26"/>
          <w:szCs w:val="26"/>
        </w:rPr>
        <w:t xml:space="preserve"> </w:t>
      </w:r>
      <w:r w:rsidR="00324588">
        <w:rPr>
          <w:sz w:val="26"/>
          <w:szCs w:val="26"/>
        </w:rPr>
        <w:br/>
      </w:r>
      <w:r w:rsidR="001B14D9" w:rsidRPr="00324588">
        <w:rPr>
          <w:sz w:val="26"/>
          <w:szCs w:val="26"/>
        </w:rPr>
        <w:t>об инвестиционном консультировании</w:t>
      </w:r>
    </w:p>
    <w:tbl>
      <w:tblPr>
        <w:tblStyle w:val="aa"/>
        <w:tblW w:w="9129" w:type="dxa"/>
        <w:jc w:val="center"/>
        <w:tblBorders>
          <w:bottom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94"/>
        <w:gridCol w:w="2778"/>
        <w:gridCol w:w="2835"/>
        <w:gridCol w:w="2722"/>
      </w:tblGrid>
      <w:tr w:rsidR="006701DA" w14:paraId="6752EDF4" w14:textId="77777777" w:rsidTr="008808F5">
        <w:trPr>
          <w:cantSplit/>
          <w:jc w:val="center"/>
        </w:trPr>
        <w:tc>
          <w:tcPr>
            <w:tcW w:w="794" w:type="dxa"/>
          </w:tcPr>
          <w:p w14:paraId="4A892C74" w14:textId="1C214FA8" w:rsidR="00C02201" w:rsidRPr="00D46670" w:rsidRDefault="00C02201" w:rsidP="006701DA">
            <w:pPr>
              <w:spacing w:before="120" w:after="120"/>
              <w:jc w:val="center"/>
            </w:pPr>
            <w:r w:rsidRPr="00D46670">
              <w:t xml:space="preserve">№ </w:t>
            </w:r>
            <w:r w:rsidR="00D34E46">
              <w:br/>
            </w:r>
            <w:r w:rsidRPr="00D46670">
              <w:t>п/п</w:t>
            </w:r>
          </w:p>
        </w:tc>
        <w:tc>
          <w:tcPr>
            <w:tcW w:w="2778" w:type="dxa"/>
          </w:tcPr>
          <w:p w14:paraId="0B7B3ECD" w14:textId="77777777" w:rsidR="00C02201" w:rsidRPr="00D46670" w:rsidRDefault="00C02201" w:rsidP="006701DA">
            <w:pPr>
              <w:spacing w:before="120" w:after="120"/>
              <w:jc w:val="center"/>
            </w:pPr>
            <w:r w:rsidRPr="00D46670">
              <w:t>Вид информации</w:t>
            </w:r>
          </w:p>
        </w:tc>
        <w:tc>
          <w:tcPr>
            <w:tcW w:w="2835" w:type="dxa"/>
          </w:tcPr>
          <w:p w14:paraId="1224FE17" w14:textId="77777777" w:rsidR="00C02201" w:rsidRPr="00D46670" w:rsidRDefault="00C02201" w:rsidP="006701DA">
            <w:pPr>
              <w:spacing w:before="120" w:after="120"/>
              <w:jc w:val="center"/>
            </w:pPr>
            <w:r w:rsidRPr="00D46670">
              <w:t>Содержание предоставляемой информации</w:t>
            </w:r>
          </w:p>
        </w:tc>
        <w:tc>
          <w:tcPr>
            <w:tcW w:w="2722" w:type="dxa"/>
          </w:tcPr>
          <w:p w14:paraId="30347400" w14:textId="7B8B9DB8" w:rsidR="00C02201" w:rsidRPr="00D46670" w:rsidRDefault="00C02201" w:rsidP="006701DA">
            <w:pPr>
              <w:spacing w:before="120" w:after="120"/>
              <w:jc w:val="center"/>
            </w:pPr>
            <w:r w:rsidRPr="00D46670">
              <w:t>Подпись физического лица, подтверждающая его ознакомление с информацией</w:t>
            </w:r>
          </w:p>
        </w:tc>
      </w:tr>
    </w:tbl>
    <w:p w14:paraId="79C826AB" w14:textId="77777777" w:rsidR="008808F5" w:rsidRPr="008808F5" w:rsidRDefault="008808F5" w:rsidP="004D1772">
      <w:pPr>
        <w:spacing w:line="24" w:lineRule="auto"/>
        <w:rPr>
          <w:sz w:val="2"/>
          <w:szCs w:val="2"/>
        </w:rPr>
      </w:pPr>
    </w:p>
    <w:tbl>
      <w:tblPr>
        <w:tblStyle w:val="aa"/>
        <w:tblW w:w="9129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94"/>
        <w:gridCol w:w="2778"/>
        <w:gridCol w:w="2835"/>
        <w:gridCol w:w="397"/>
        <w:gridCol w:w="1928"/>
        <w:gridCol w:w="397"/>
      </w:tblGrid>
      <w:tr w:rsidR="00C02201" w14:paraId="1056BAA6" w14:textId="77777777" w:rsidTr="00A81C1F">
        <w:trPr>
          <w:tblHeader/>
          <w:jc w:val="center"/>
        </w:trPr>
        <w:tc>
          <w:tcPr>
            <w:tcW w:w="794" w:type="dxa"/>
          </w:tcPr>
          <w:p w14:paraId="737F8E31" w14:textId="77777777" w:rsidR="00C02201" w:rsidRPr="00D46670" w:rsidRDefault="00C02201" w:rsidP="00C02201">
            <w:pPr>
              <w:jc w:val="center"/>
            </w:pPr>
            <w:r w:rsidRPr="00D46670">
              <w:t>1</w:t>
            </w:r>
          </w:p>
        </w:tc>
        <w:tc>
          <w:tcPr>
            <w:tcW w:w="2778" w:type="dxa"/>
          </w:tcPr>
          <w:p w14:paraId="7F7EE4DC" w14:textId="77777777" w:rsidR="00C02201" w:rsidRPr="00D46670" w:rsidRDefault="00C02201" w:rsidP="00C02201">
            <w:pPr>
              <w:jc w:val="center"/>
            </w:pPr>
            <w:r w:rsidRPr="00D46670">
              <w:t>2</w:t>
            </w:r>
          </w:p>
        </w:tc>
        <w:tc>
          <w:tcPr>
            <w:tcW w:w="2835" w:type="dxa"/>
          </w:tcPr>
          <w:p w14:paraId="421EBDE3" w14:textId="77777777" w:rsidR="00C02201" w:rsidRPr="00D46670" w:rsidRDefault="00C02201" w:rsidP="00C02201">
            <w:pPr>
              <w:jc w:val="center"/>
            </w:pPr>
            <w:r w:rsidRPr="00D46670">
              <w:t>3</w:t>
            </w:r>
          </w:p>
        </w:tc>
        <w:tc>
          <w:tcPr>
            <w:tcW w:w="2722" w:type="dxa"/>
            <w:gridSpan w:val="3"/>
          </w:tcPr>
          <w:p w14:paraId="306791F2" w14:textId="77777777" w:rsidR="00C02201" w:rsidRPr="00D46670" w:rsidRDefault="00C02201" w:rsidP="00C02201">
            <w:pPr>
              <w:jc w:val="center"/>
            </w:pPr>
            <w:r w:rsidRPr="00D46670">
              <w:t>4</w:t>
            </w:r>
          </w:p>
        </w:tc>
      </w:tr>
      <w:tr w:rsidR="00BE008B" w14:paraId="38F623C5" w14:textId="77777777" w:rsidTr="00A81C1F">
        <w:trPr>
          <w:trHeight w:val="425"/>
          <w:jc w:val="center"/>
        </w:trPr>
        <w:tc>
          <w:tcPr>
            <w:tcW w:w="794" w:type="dxa"/>
            <w:vMerge w:val="restart"/>
          </w:tcPr>
          <w:p w14:paraId="6A431B97" w14:textId="77777777" w:rsidR="00BA14B7" w:rsidRPr="00D46670" w:rsidRDefault="00BA14B7" w:rsidP="006701DA">
            <w:pPr>
              <w:spacing w:before="120" w:after="120"/>
              <w:jc w:val="center"/>
            </w:pPr>
            <w:r w:rsidRPr="00D46670">
              <w:t>1</w:t>
            </w:r>
          </w:p>
        </w:tc>
        <w:tc>
          <w:tcPr>
            <w:tcW w:w="2778" w:type="dxa"/>
            <w:vMerge w:val="restart"/>
          </w:tcPr>
          <w:p w14:paraId="2B864CEB" w14:textId="1C852ED9" w:rsidR="00BA14B7" w:rsidRPr="00D46670" w:rsidRDefault="00313204" w:rsidP="006701DA">
            <w:pPr>
              <w:spacing w:before="120" w:after="120"/>
              <w:ind w:left="57" w:right="57" w:firstLine="227"/>
            </w:pPr>
            <w:r>
              <w:t>Информация о договоре о брокерском обслуживании, договоре доверительного управления или договоре об инвестиционном консультировании</w:t>
            </w:r>
          </w:p>
        </w:tc>
        <w:tc>
          <w:tcPr>
            <w:tcW w:w="2835" w:type="dxa"/>
            <w:vMerge w:val="restart"/>
          </w:tcPr>
          <w:p w14:paraId="5A419DC6" w14:textId="67C8E92B" w:rsidR="00BA14B7" w:rsidRPr="00D46670" w:rsidRDefault="009C48AD" w:rsidP="00DA3F79">
            <w:pPr>
              <w:spacing w:before="120" w:after="120"/>
              <w:ind w:left="57" w:right="57" w:firstLine="227"/>
            </w:pPr>
            <w:r w:rsidRPr="00D46670">
              <w:t>1.1</w:t>
            </w:r>
            <w:r w:rsidR="00407D01" w:rsidRPr="00D46670">
              <w:t>.</w:t>
            </w:r>
            <w:r w:rsidRPr="00D46670">
              <w:t> </w:t>
            </w:r>
            <w:r w:rsidR="00313204">
              <w:t xml:space="preserve">Переданные по </w:t>
            </w:r>
            <w:r w:rsidR="00313204">
              <w:br/>
              <w:t xml:space="preserve">договору денежные средства </w:t>
            </w:r>
            <w:r w:rsidR="00313204">
              <w:br/>
              <w:t xml:space="preserve">не подлежат страхованию в соответствии с </w:t>
            </w:r>
            <w:r w:rsidR="00313204">
              <w:br/>
              <w:t>Федеральным законом</w:t>
            </w:r>
            <w:r w:rsidR="00E86775">
              <w:t xml:space="preserve"> </w:t>
            </w:r>
            <w:r w:rsidR="00313204">
              <w:br/>
            </w:r>
            <w:r w:rsidR="00E86775">
              <w:t xml:space="preserve">от 23 декабря 2003 года </w:t>
            </w:r>
            <w:r w:rsidR="008E6859">
              <w:br/>
            </w:r>
            <w:r w:rsidR="00E86775">
              <w:t xml:space="preserve">№ 177-ФЗ </w:t>
            </w:r>
            <w:r w:rsidR="00BA14B7" w:rsidRPr="00D46670">
              <w:t>«О страховании вкладов в банках Российской Федерации»</w:t>
            </w:r>
          </w:p>
        </w:tc>
        <w:tc>
          <w:tcPr>
            <w:tcW w:w="397" w:type="dxa"/>
            <w:tcBorders>
              <w:bottom w:val="nil"/>
              <w:right w:val="nil"/>
            </w:tcBorders>
          </w:tcPr>
          <w:p w14:paraId="224E9CEF" w14:textId="77777777" w:rsidR="00BA14B7" w:rsidRPr="00D46670" w:rsidRDefault="00BA14B7" w:rsidP="00A02E37"/>
        </w:tc>
        <w:tc>
          <w:tcPr>
            <w:tcW w:w="1928" w:type="dxa"/>
            <w:tcBorders>
              <w:left w:val="nil"/>
              <w:bottom w:val="single" w:sz="4" w:space="0" w:color="auto"/>
              <w:right w:val="nil"/>
            </w:tcBorders>
          </w:tcPr>
          <w:p w14:paraId="3CE734CC" w14:textId="77777777" w:rsidR="00BA14B7" w:rsidRPr="00D46670" w:rsidRDefault="00BA14B7" w:rsidP="00956890">
            <w:pPr>
              <w:jc w:val="center"/>
            </w:pPr>
          </w:p>
        </w:tc>
        <w:tc>
          <w:tcPr>
            <w:tcW w:w="397" w:type="dxa"/>
            <w:tcBorders>
              <w:left w:val="nil"/>
              <w:bottom w:val="nil"/>
            </w:tcBorders>
          </w:tcPr>
          <w:p w14:paraId="0CE143E3" w14:textId="77777777" w:rsidR="00BA14B7" w:rsidRPr="00D46670" w:rsidRDefault="00BA14B7" w:rsidP="00A02E37"/>
        </w:tc>
      </w:tr>
      <w:tr w:rsidR="00BE008B" w14:paraId="09418ECD" w14:textId="77777777" w:rsidTr="00A81C1F">
        <w:trPr>
          <w:trHeight w:hRule="exact" w:val="425"/>
          <w:jc w:val="center"/>
        </w:trPr>
        <w:tc>
          <w:tcPr>
            <w:tcW w:w="794" w:type="dxa"/>
            <w:vMerge/>
          </w:tcPr>
          <w:p w14:paraId="55C72145" w14:textId="77777777" w:rsidR="00BA14B7" w:rsidRPr="00D46670" w:rsidRDefault="00BA14B7" w:rsidP="00956890">
            <w:pPr>
              <w:jc w:val="center"/>
            </w:pPr>
          </w:p>
        </w:tc>
        <w:tc>
          <w:tcPr>
            <w:tcW w:w="2778" w:type="dxa"/>
            <w:vMerge/>
          </w:tcPr>
          <w:p w14:paraId="535432B3" w14:textId="77777777" w:rsidR="00BA14B7" w:rsidRPr="00D46670" w:rsidRDefault="00BA14B7" w:rsidP="006701DA">
            <w:pPr>
              <w:ind w:left="57" w:right="57"/>
            </w:pPr>
          </w:p>
        </w:tc>
        <w:tc>
          <w:tcPr>
            <w:tcW w:w="2835" w:type="dxa"/>
            <w:vMerge/>
          </w:tcPr>
          <w:p w14:paraId="6029E6AD" w14:textId="77777777" w:rsidR="00BA14B7" w:rsidRPr="00D46670" w:rsidRDefault="00BA14B7" w:rsidP="00DA3F79">
            <w:pPr>
              <w:spacing w:before="120" w:after="120"/>
              <w:ind w:left="57" w:right="57"/>
            </w:pPr>
          </w:p>
        </w:tc>
        <w:tc>
          <w:tcPr>
            <w:tcW w:w="397" w:type="dxa"/>
            <w:tcBorders>
              <w:top w:val="nil"/>
              <w:bottom w:val="nil"/>
              <w:right w:val="single" w:sz="4" w:space="0" w:color="auto"/>
            </w:tcBorders>
          </w:tcPr>
          <w:p w14:paraId="42835908" w14:textId="77777777" w:rsidR="00BA14B7" w:rsidRPr="00D46670" w:rsidRDefault="00BA14B7" w:rsidP="00A02E37"/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6E1C" w14:textId="77777777" w:rsidR="00BA14B7" w:rsidRPr="00D46670" w:rsidRDefault="00BA14B7" w:rsidP="00956890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</w:tcBorders>
          </w:tcPr>
          <w:p w14:paraId="1FBBF8B9" w14:textId="77777777" w:rsidR="00BA14B7" w:rsidRPr="00D46670" w:rsidRDefault="00BA14B7" w:rsidP="00A02E37"/>
        </w:tc>
      </w:tr>
      <w:tr w:rsidR="00BE008B" w14:paraId="49BE0D98" w14:textId="77777777" w:rsidTr="00A81C1F">
        <w:trPr>
          <w:jc w:val="center"/>
        </w:trPr>
        <w:tc>
          <w:tcPr>
            <w:tcW w:w="794" w:type="dxa"/>
            <w:vMerge/>
          </w:tcPr>
          <w:p w14:paraId="33100DCA" w14:textId="77777777" w:rsidR="00BA14B7" w:rsidRPr="00D46670" w:rsidRDefault="00BA14B7" w:rsidP="00956890">
            <w:pPr>
              <w:jc w:val="center"/>
            </w:pPr>
          </w:p>
        </w:tc>
        <w:tc>
          <w:tcPr>
            <w:tcW w:w="2778" w:type="dxa"/>
            <w:vMerge/>
          </w:tcPr>
          <w:p w14:paraId="09EDC485" w14:textId="77777777" w:rsidR="00BA14B7" w:rsidRPr="00D46670" w:rsidRDefault="00BA14B7" w:rsidP="006701DA">
            <w:pPr>
              <w:ind w:left="57" w:right="57"/>
            </w:pPr>
          </w:p>
        </w:tc>
        <w:tc>
          <w:tcPr>
            <w:tcW w:w="2835" w:type="dxa"/>
            <w:vMerge/>
          </w:tcPr>
          <w:p w14:paraId="0198D665" w14:textId="77777777" w:rsidR="00BA14B7" w:rsidRPr="00D46670" w:rsidRDefault="00BA14B7" w:rsidP="00DA3F79">
            <w:pPr>
              <w:spacing w:before="120" w:after="120"/>
              <w:ind w:left="57" w:right="57"/>
            </w:pPr>
          </w:p>
        </w:tc>
        <w:tc>
          <w:tcPr>
            <w:tcW w:w="397" w:type="dxa"/>
            <w:tcBorders>
              <w:top w:val="nil"/>
              <w:right w:val="nil"/>
            </w:tcBorders>
          </w:tcPr>
          <w:p w14:paraId="5F659D62" w14:textId="77777777" w:rsidR="00BA14B7" w:rsidRPr="00D46670" w:rsidRDefault="00BA14B7" w:rsidP="00A02E37"/>
        </w:tc>
        <w:tc>
          <w:tcPr>
            <w:tcW w:w="1928" w:type="dxa"/>
            <w:tcBorders>
              <w:top w:val="single" w:sz="4" w:space="0" w:color="auto"/>
              <w:left w:val="nil"/>
              <w:right w:val="nil"/>
            </w:tcBorders>
          </w:tcPr>
          <w:p w14:paraId="58539763" w14:textId="77777777" w:rsidR="00BA14B7" w:rsidRPr="00D46670" w:rsidRDefault="006D0635" w:rsidP="00B233F4">
            <w:pPr>
              <w:spacing w:before="120" w:after="120"/>
              <w:jc w:val="center"/>
            </w:pPr>
            <w:r w:rsidRPr="00D46670">
              <w:t>С</w:t>
            </w:r>
            <w:r w:rsidR="00BA14B7" w:rsidRPr="00D46670">
              <w:t xml:space="preserve"> информацией ознакомлен</w:t>
            </w:r>
          </w:p>
        </w:tc>
        <w:tc>
          <w:tcPr>
            <w:tcW w:w="397" w:type="dxa"/>
            <w:tcBorders>
              <w:top w:val="nil"/>
              <w:left w:val="nil"/>
            </w:tcBorders>
          </w:tcPr>
          <w:p w14:paraId="19E38DA7" w14:textId="77777777" w:rsidR="00BA14B7" w:rsidRPr="00D46670" w:rsidRDefault="00BA14B7" w:rsidP="00A02E37"/>
        </w:tc>
      </w:tr>
      <w:tr w:rsidR="00BE008B" w14:paraId="04AAFC4D" w14:textId="77777777" w:rsidTr="00A81C1F">
        <w:trPr>
          <w:trHeight w:val="425"/>
          <w:jc w:val="center"/>
        </w:trPr>
        <w:tc>
          <w:tcPr>
            <w:tcW w:w="794" w:type="dxa"/>
            <w:vMerge/>
          </w:tcPr>
          <w:p w14:paraId="1B1C5677" w14:textId="77777777" w:rsidR="00BA14B7" w:rsidRPr="00D46670" w:rsidRDefault="00BA14B7" w:rsidP="00956890">
            <w:pPr>
              <w:jc w:val="center"/>
            </w:pPr>
          </w:p>
        </w:tc>
        <w:tc>
          <w:tcPr>
            <w:tcW w:w="2778" w:type="dxa"/>
            <w:vMerge/>
          </w:tcPr>
          <w:p w14:paraId="292DC955" w14:textId="77777777" w:rsidR="00BA14B7" w:rsidRPr="00D46670" w:rsidRDefault="00BA14B7" w:rsidP="006701DA">
            <w:pPr>
              <w:ind w:left="57" w:right="57"/>
            </w:pPr>
          </w:p>
        </w:tc>
        <w:tc>
          <w:tcPr>
            <w:tcW w:w="2835" w:type="dxa"/>
            <w:vMerge w:val="restart"/>
          </w:tcPr>
          <w:p w14:paraId="5C917AE6" w14:textId="77777777" w:rsidR="00BA14B7" w:rsidRPr="00D46670" w:rsidRDefault="00BA14B7" w:rsidP="00DA3F79">
            <w:pPr>
              <w:spacing w:before="120" w:after="120"/>
              <w:ind w:left="57" w:right="57" w:firstLine="227"/>
            </w:pPr>
            <w:r w:rsidRPr="00D46670">
              <w:t>1.2.</w:t>
            </w:r>
            <w:r w:rsidR="00407D01" w:rsidRPr="00D46670">
              <w:t> </w:t>
            </w:r>
            <w:r w:rsidRPr="00D46670">
              <w:t>Отсутствует гарантия получения доходности</w:t>
            </w:r>
          </w:p>
        </w:tc>
        <w:tc>
          <w:tcPr>
            <w:tcW w:w="397" w:type="dxa"/>
            <w:tcBorders>
              <w:bottom w:val="nil"/>
              <w:right w:val="nil"/>
            </w:tcBorders>
          </w:tcPr>
          <w:p w14:paraId="5424AC29" w14:textId="77777777" w:rsidR="00BA14B7" w:rsidRPr="00D46670" w:rsidRDefault="00BA14B7" w:rsidP="00064EC9"/>
        </w:tc>
        <w:tc>
          <w:tcPr>
            <w:tcW w:w="1928" w:type="dxa"/>
            <w:tcBorders>
              <w:left w:val="nil"/>
              <w:bottom w:val="single" w:sz="4" w:space="0" w:color="auto"/>
              <w:right w:val="nil"/>
            </w:tcBorders>
          </w:tcPr>
          <w:p w14:paraId="1DED7C3C" w14:textId="77777777" w:rsidR="00BA14B7" w:rsidRPr="00D46670" w:rsidRDefault="00BA14B7" w:rsidP="00064EC9">
            <w:pPr>
              <w:jc w:val="center"/>
            </w:pPr>
          </w:p>
        </w:tc>
        <w:tc>
          <w:tcPr>
            <w:tcW w:w="397" w:type="dxa"/>
            <w:tcBorders>
              <w:left w:val="nil"/>
              <w:bottom w:val="nil"/>
            </w:tcBorders>
          </w:tcPr>
          <w:p w14:paraId="3AC3CD62" w14:textId="77777777" w:rsidR="00BA14B7" w:rsidRPr="00D46670" w:rsidRDefault="00BA14B7" w:rsidP="00064EC9"/>
        </w:tc>
      </w:tr>
      <w:tr w:rsidR="00BE008B" w14:paraId="4ECB7C76" w14:textId="77777777" w:rsidTr="00A81C1F">
        <w:trPr>
          <w:trHeight w:hRule="exact" w:val="425"/>
          <w:jc w:val="center"/>
        </w:trPr>
        <w:tc>
          <w:tcPr>
            <w:tcW w:w="794" w:type="dxa"/>
            <w:vMerge/>
          </w:tcPr>
          <w:p w14:paraId="2E9DC554" w14:textId="77777777" w:rsidR="00BA14B7" w:rsidRPr="00D46670" w:rsidRDefault="00BA14B7" w:rsidP="00956890">
            <w:pPr>
              <w:jc w:val="center"/>
            </w:pPr>
          </w:p>
        </w:tc>
        <w:tc>
          <w:tcPr>
            <w:tcW w:w="2778" w:type="dxa"/>
            <w:vMerge/>
          </w:tcPr>
          <w:p w14:paraId="75A7F98F" w14:textId="77777777" w:rsidR="00BA14B7" w:rsidRPr="00D46670" w:rsidRDefault="00BA14B7" w:rsidP="006701DA">
            <w:pPr>
              <w:ind w:left="57" w:right="57"/>
            </w:pPr>
          </w:p>
        </w:tc>
        <w:tc>
          <w:tcPr>
            <w:tcW w:w="2835" w:type="dxa"/>
            <w:vMerge/>
          </w:tcPr>
          <w:p w14:paraId="481DDF2E" w14:textId="77777777" w:rsidR="00BA14B7" w:rsidRPr="00D46670" w:rsidRDefault="00BA14B7" w:rsidP="00DA3F79">
            <w:pPr>
              <w:spacing w:before="120" w:after="120"/>
              <w:ind w:left="57" w:right="57"/>
            </w:pPr>
          </w:p>
        </w:tc>
        <w:tc>
          <w:tcPr>
            <w:tcW w:w="397" w:type="dxa"/>
            <w:tcBorders>
              <w:top w:val="nil"/>
              <w:bottom w:val="nil"/>
              <w:right w:val="single" w:sz="4" w:space="0" w:color="auto"/>
            </w:tcBorders>
          </w:tcPr>
          <w:p w14:paraId="3D07C7D8" w14:textId="77777777" w:rsidR="00BA14B7" w:rsidRPr="00D46670" w:rsidRDefault="00BA14B7" w:rsidP="00064EC9"/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8507" w14:textId="77777777" w:rsidR="00BA14B7" w:rsidRPr="00D46670" w:rsidRDefault="00BA14B7" w:rsidP="00064EC9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</w:tcBorders>
          </w:tcPr>
          <w:p w14:paraId="531E5C65" w14:textId="77777777" w:rsidR="00BA14B7" w:rsidRPr="00D46670" w:rsidRDefault="00BA14B7" w:rsidP="00064EC9"/>
        </w:tc>
      </w:tr>
      <w:tr w:rsidR="00BE008B" w14:paraId="26CC3D7A" w14:textId="77777777" w:rsidTr="004B4A6E">
        <w:trPr>
          <w:jc w:val="center"/>
        </w:trPr>
        <w:tc>
          <w:tcPr>
            <w:tcW w:w="794" w:type="dxa"/>
            <w:vMerge/>
          </w:tcPr>
          <w:p w14:paraId="6F7298AD" w14:textId="77777777" w:rsidR="00BA14B7" w:rsidRPr="00D46670" w:rsidRDefault="00BA14B7" w:rsidP="00956890">
            <w:pPr>
              <w:jc w:val="center"/>
            </w:pPr>
          </w:p>
        </w:tc>
        <w:tc>
          <w:tcPr>
            <w:tcW w:w="2778" w:type="dxa"/>
            <w:vMerge/>
          </w:tcPr>
          <w:p w14:paraId="1A580E93" w14:textId="77777777" w:rsidR="00BA14B7" w:rsidRPr="00D46670" w:rsidRDefault="00BA14B7" w:rsidP="006701DA">
            <w:pPr>
              <w:ind w:left="57" w:right="57"/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3F33DC44" w14:textId="77777777" w:rsidR="00BA14B7" w:rsidRPr="00D46670" w:rsidRDefault="00BA14B7" w:rsidP="00DA3F79">
            <w:pPr>
              <w:spacing w:before="120" w:after="120"/>
              <w:ind w:left="57" w:right="57"/>
            </w:pPr>
          </w:p>
        </w:tc>
        <w:tc>
          <w:tcPr>
            <w:tcW w:w="397" w:type="dxa"/>
            <w:tcBorders>
              <w:top w:val="nil"/>
              <w:right w:val="nil"/>
            </w:tcBorders>
          </w:tcPr>
          <w:p w14:paraId="439605C1" w14:textId="77777777" w:rsidR="00BA14B7" w:rsidRPr="00D46670" w:rsidRDefault="00BA14B7" w:rsidP="00064EC9"/>
        </w:tc>
        <w:tc>
          <w:tcPr>
            <w:tcW w:w="1928" w:type="dxa"/>
            <w:tcBorders>
              <w:top w:val="single" w:sz="4" w:space="0" w:color="auto"/>
              <w:left w:val="nil"/>
              <w:right w:val="nil"/>
            </w:tcBorders>
          </w:tcPr>
          <w:p w14:paraId="6D6789EA" w14:textId="77777777" w:rsidR="00BA14B7" w:rsidRPr="00D46670" w:rsidRDefault="006D0635" w:rsidP="00B233F4">
            <w:pPr>
              <w:spacing w:before="120" w:after="120"/>
              <w:jc w:val="center"/>
            </w:pPr>
            <w:r w:rsidRPr="00D46670">
              <w:t>С</w:t>
            </w:r>
            <w:r w:rsidR="00BA14B7" w:rsidRPr="00D46670">
              <w:t xml:space="preserve"> информацией ознакомлен</w:t>
            </w:r>
          </w:p>
        </w:tc>
        <w:tc>
          <w:tcPr>
            <w:tcW w:w="397" w:type="dxa"/>
            <w:tcBorders>
              <w:top w:val="nil"/>
              <w:left w:val="nil"/>
            </w:tcBorders>
          </w:tcPr>
          <w:p w14:paraId="3822B6D1" w14:textId="77777777" w:rsidR="00BA14B7" w:rsidRPr="00D46670" w:rsidRDefault="00BA14B7" w:rsidP="00064EC9"/>
        </w:tc>
      </w:tr>
      <w:tr w:rsidR="00BE008B" w14:paraId="436AEF18" w14:textId="77777777" w:rsidTr="00A81C1F">
        <w:trPr>
          <w:trHeight w:val="425"/>
          <w:jc w:val="center"/>
        </w:trPr>
        <w:tc>
          <w:tcPr>
            <w:tcW w:w="794" w:type="dxa"/>
            <w:vMerge/>
          </w:tcPr>
          <w:p w14:paraId="045F4B17" w14:textId="77777777" w:rsidR="00BA14B7" w:rsidRPr="00D46670" w:rsidRDefault="00BA14B7" w:rsidP="00064EC9">
            <w:pPr>
              <w:jc w:val="center"/>
            </w:pPr>
          </w:p>
        </w:tc>
        <w:tc>
          <w:tcPr>
            <w:tcW w:w="2778" w:type="dxa"/>
            <w:vMerge/>
          </w:tcPr>
          <w:p w14:paraId="56D055B2" w14:textId="77777777" w:rsidR="00BA14B7" w:rsidRPr="00D46670" w:rsidRDefault="00BA14B7" w:rsidP="006701DA">
            <w:pPr>
              <w:ind w:left="57" w:right="57"/>
            </w:pPr>
          </w:p>
        </w:tc>
        <w:tc>
          <w:tcPr>
            <w:tcW w:w="2835" w:type="dxa"/>
            <w:vMerge w:val="restart"/>
          </w:tcPr>
          <w:p w14:paraId="11746B2E" w14:textId="68595F3F" w:rsidR="00BA14B7" w:rsidRPr="00D46670" w:rsidRDefault="00BA14B7" w:rsidP="00DA3F79">
            <w:pPr>
              <w:spacing w:before="120" w:after="120"/>
              <w:ind w:left="57" w:right="57" w:firstLine="227"/>
            </w:pPr>
            <w:r w:rsidRPr="00D46670">
              <w:t>1.3.</w:t>
            </w:r>
            <w:r w:rsidR="009C48AD" w:rsidRPr="00D46670">
              <w:t> </w:t>
            </w:r>
            <w:r w:rsidR="00313204">
              <w:t xml:space="preserve">Договор не является договором банковского </w:t>
            </w:r>
            <w:r w:rsidR="00313204">
              <w:br/>
              <w:t>вклада (банковского счета)</w:t>
            </w:r>
          </w:p>
        </w:tc>
        <w:tc>
          <w:tcPr>
            <w:tcW w:w="397" w:type="dxa"/>
            <w:tcBorders>
              <w:bottom w:val="nil"/>
              <w:right w:val="nil"/>
            </w:tcBorders>
          </w:tcPr>
          <w:p w14:paraId="3A406B33" w14:textId="77777777" w:rsidR="00BA14B7" w:rsidRPr="00D46670" w:rsidRDefault="00BA14B7" w:rsidP="00064EC9"/>
        </w:tc>
        <w:tc>
          <w:tcPr>
            <w:tcW w:w="1928" w:type="dxa"/>
            <w:tcBorders>
              <w:left w:val="nil"/>
              <w:bottom w:val="single" w:sz="4" w:space="0" w:color="auto"/>
              <w:right w:val="nil"/>
            </w:tcBorders>
          </w:tcPr>
          <w:p w14:paraId="545D52CD" w14:textId="77777777" w:rsidR="00BA14B7" w:rsidRPr="00D46670" w:rsidRDefault="00BA14B7" w:rsidP="00064EC9">
            <w:pPr>
              <w:jc w:val="center"/>
            </w:pPr>
          </w:p>
        </w:tc>
        <w:tc>
          <w:tcPr>
            <w:tcW w:w="397" w:type="dxa"/>
            <w:tcBorders>
              <w:left w:val="nil"/>
              <w:bottom w:val="nil"/>
            </w:tcBorders>
          </w:tcPr>
          <w:p w14:paraId="1B3E630F" w14:textId="77777777" w:rsidR="00BA14B7" w:rsidRPr="00D46670" w:rsidRDefault="00BA14B7" w:rsidP="00064EC9"/>
        </w:tc>
      </w:tr>
      <w:tr w:rsidR="00BE008B" w14:paraId="706D9F0F" w14:textId="77777777" w:rsidTr="00A81C1F">
        <w:trPr>
          <w:trHeight w:hRule="exact" w:val="425"/>
          <w:jc w:val="center"/>
        </w:trPr>
        <w:tc>
          <w:tcPr>
            <w:tcW w:w="794" w:type="dxa"/>
            <w:vMerge/>
          </w:tcPr>
          <w:p w14:paraId="786351D8" w14:textId="77777777" w:rsidR="00BA14B7" w:rsidRPr="00D46670" w:rsidRDefault="00BA14B7" w:rsidP="00064EC9">
            <w:pPr>
              <w:jc w:val="center"/>
            </w:pPr>
          </w:p>
        </w:tc>
        <w:tc>
          <w:tcPr>
            <w:tcW w:w="2778" w:type="dxa"/>
            <w:vMerge/>
          </w:tcPr>
          <w:p w14:paraId="1547BB6A" w14:textId="77777777" w:rsidR="00BA14B7" w:rsidRPr="00D46670" w:rsidRDefault="00BA14B7" w:rsidP="00064EC9">
            <w:pPr>
              <w:ind w:left="57" w:right="57"/>
              <w:jc w:val="both"/>
            </w:pPr>
          </w:p>
        </w:tc>
        <w:tc>
          <w:tcPr>
            <w:tcW w:w="2835" w:type="dxa"/>
            <w:vMerge/>
          </w:tcPr>
          <w:p w14:paraId="7BED935E" w14:textId="77777777" w:rsidR="00BA14B7" w:rsidRPr="00D46670" w:rsidRDefault="00BA14B7" w:rsidP="00DA3F79">
            <w:pPr>
              <w:spacing w:before="120" w:after="120"/>
              <w:ind w:left="57" w:right="57"/>
              <w:jc w:val="both"/>
            </w:pPr>
          </w:p>
        </w:tc>
        <w:tc>
          <w:tcPr>
            <w:tcW w:w="397" w:type="dxa"/>
            <w:tcBorders>
              <w:top w:val="nil"/>
              <w:bottom w:val="nil"/>
              <w:right w:val="single" w:sz="4" w:space="0" w:color="auto"/>
            </w:tcBorders>
          </w:tcPr>
          <w:p w14:paraId="643B7063" w14:textId="77777777" w:rsidR="00BA14B7" w:rsidRPr="00D46670" w:rsidRDefault="00BA14B7" w:rsidP="00064EC9"/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6DE4" w14:textId="77777777" w:rsidR="00BA14B7" w:rsidRPr="00D46670" w:rsidRDefault="00BA14B7" w:rsidP="00064EC9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</w:tcBorders>
          </w:tcPr>
          <w:p w14:paraId="36AB9B32" w14:textId="77777777" w:rsidR="00BA14B7" w:rsidRPr="00D46670" w:rsidRDefault="00BA14B7" w:rsidP="00064EC9"/>
        </w:tc>
      </w:tr>
      <w:tr w:rsidR="00BE008B" w14:paraId="7E7A95A3" w14:textId="77777777" w:rsidTr="004B4A6E">
        <w:trPr>
          <w:jc w:val="center"/>
        </w:trPr>
        <w:tc>
          <w:tcPr>
            <w:tcW w:w="794" w:type="dxa"/>
            <w:vMerge/>
          </w:tcPr>
          <w:p w14:paraId="387BF0BF" w14:textId="77777777" w:rsidR="00BA14B7" w:rsidRPr="00D46670" w:rsidRDefault="00BA14B7" w:rsidP="00064EC9">
            <w:pPr>
              <w:jc w:val="center"/>
            </w:pPr>
          </w:p>
        </w:tc>
        <w:tc>
          <w:tcPr>
            <w:tcW w:w="2778" w:type="dxa"/>
            <w:vMerge/>
          </w:tcPr>
          <w:p w14:paraId="05CF9141" w14:textId="77777777" w:rsidR="00BA14B7" w:rsidRPr="00D46670" w:rsidRDefault="00BA14B7" w:rsidP="00064EC9">
            <w:pPr>
              <w:ind w:left="57" w:right="57"/>
              <w:jc w:val="both"/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07041121" w14:textId="77777777" w:rsidR="00BA14B7" w:rsidRPr="00D46670" w:rsidRDefault="00BA14B7" w:rsidP="00DA3F79">
            <w:pPr>
              <w:spacing w:before="120" w:after="120"/>
              <w:ind w:left="57" w:right="57"/>
              <w:jc w:val="both"/>
            </w:pPr>
          </w:p>
        </w:tc>
        <w:tc>
          <w:tcPr>
            <w:tcW w:w="397" w:type="dxa"/>
            <w:tcBorders>
              <w:top w:val="nil"/>
              <w:right w:val="nil"/>
            </w:tcBorders>
          </w:tcPr>
          <w:p w14:paraId="4211E067" w14:textId="77777777" w:rsidR="00BA14B7" w:rsidRPr="00D46670" w:rsidRDefault="00BA14B7" w:rsidP="00064EC9"/>
        </w:tc>
        <w:tc>
          <w:tcPr>
            <w:tcW w:w="1928" w:type="dxa"/>
            <w:tcBorders>
              <w:top w:val="single" w:sz="4" w:space="0" w:color="auto"/>
              <w:left w:val="nil"/>
              <w:right w:val="nil"/>
            </w:tcBorders>
          </w:tcPr>
          <w:p w14:paraId="42DA98D9" w14:textId="77777777" w:rsidR="00BA14B7" w:rsidRPr="00D46670" w:rsidRDefault="006D0635" w:rsidP="00B233F4">
            <w:pPr>
              <w:spacing w:before="120" w:after="120"/>
              <w:jc w:val="center"/>
            </w:pPr>
            <w:r w:rsidRPr="00D46670">
              <w:t>С</w:t>
            </w:r>
            <w:r w:rsidR="00BA14B7" w:rsidRPr="00D46670">
              <w:t xml:space="preserve"> информацией ознакомлен</w:t>
            </w:r>
          </w:p>
        </w:tc>
        <w:tc>
          <w:tcPr>
            <w:tcW w:w="397" w:type="dxa"/>
            <w:tcBorders>
              <w:top w:val="nil"/>
              <w:left w:val="nil"/>
            </w:tcBorders>
          </w:tcPr>
          <w:p w14:paraId="572696F8" w14:textId="77777777" w:rsidR="00BA14B7" w:rsidRPr="00D46670" w:rsidRDefault="00BA14B7" w:rsidP="00064EC9"/>
        </w:tc>
      </w:tr>
      <w:tr w:rsidR="00B15DC0" w14:paraId="596FA847" w14:textId="77777777" w:rsidTr="00E5711C">
        <w:trPr>
          <w:trHeight w:val="567"/>
          <w:jc w:val="center"/>
        </w:trPr>
        <w:tc>
          <w:tcPr>
            <w:tcW w:w="794" w:type="dxa"/>
            <w:vMerge w:val="restart"/>
            <w:tcBorders>
              <w:bottom w:val="nil"/>
            </w:tcBorders>
          </w:tcPr>
          <w:p w14:paraId="29CC5EDA" w14:textId="221131BB" w:rsidR="00B15DC0" w:rsidRPr="00D46670" w:rsidRDefault="007C0F62" w:rsidP="00E5711C">
            <w:pPr>
              <w:keepNext/>
              <w:keepLines/>
              <w:spacing w:before="120" w:after="120"/>
              <w:jc w:val="center"/>
            </w:pPr>
            <w:r>
              <w:lastRenderedPageBreak/>
              <w:t>2</w:t>
            </w:r>
          </w:p>
        </w:tc>
        <w:tc>
          <w:tcPr>
            <w:tcW w:w="2778" w:type="dxa"/>
            <w:vMerge w:val="restart"/>
            <w:tcBorders>
              <w:bottom w:val="nil"/>
            </w:tcBorders>
          </w:tcPr>
          <w:p w14:paraId="205FACAF" w14:textId="1F1E4FC0" w:rsidR="00B15DC0" w:rsidRPr="00D46670" w:rsidRDefault="00B15DC0" w:rsidP="00E5711C">
            <w:pPr>
              <w:keepNext/>
              <w:keepLines/>
              <w:spacing w:before="120"/>
              <w:ind w:left="57" w:right="57" w:firstLine="227"/>
            </w:pPr>
            <w:r>
              <w:t>Информация о рисках, связанных с исполнением договора о брокерском обслуживании, договора доверительного управления, договора об инвестиционном консультировании: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11708719" w14:textId="49522E6E" w:rsidR="00B15DC0" w:rsidRPr="00D46670" w:rsidRDefault="00B15DC0" w:rsidP="00E5711C">
            <w:pPr>
              <w:keepNext/>
              <w:keepLines/>
              <w:spacing w:before="120" w:after="120"/>
              <w:ind w:left="57" w:right="57"/>
            </w:pPr>
          </w:p>
        </w:tc>
        <w:tc>
          <w:tcPr>
            <w:tcW w:w="397" w:type="dxa"/>
            <w:tcBorders>
              <w:bottom w:val="nil"/>
              <w:right w:val="nil"/>
            </w:tcBorders>
          </w:tcPr>
          <w:p w14:paraId="24FB9589" w14:textId="77777777" w:rsidR="00B15DC0" w:rsidRPr="00D46670" w:rsidRDefault="00B15DC0" w:rsidP="00E5711C">
            <w:pPr>
              <w:keepNext/>
              <w:keepLines/>
            </w:pPr>
          </w:p>
        </w:tc>
        <w:tc>
          <w:tcPr>
            <w:tcW w:w="1928" w:type="dxa"/>
            <w:tcBorders>
              <w:left w:val="nil"/>
              <w:bottom w:val="single" w:sz="4" w:space="0" w:color="auto"/>
              <w:right w:val="nil"/>
            </w:tcBorders>
          </w:tcPr>
          <w:p w14:paraId="62A47F3C" w14:textId="77777777" w:rsidR="00B15DC0" w:rsidRPr="00D46670" w:rsidRDefault="00B15DC0" w:rsidP="00E5711C">
            <w:pPr>
              <w:keepNext/>
              <w:keepLines/>
              <w:jc w:val="center"/>
            </w:pPr>
          </w:p>
        </w:tc>
        <w:tc>
          <w:tcPr>
            <w:tcW w:w="397" w:type="dxa"/>
            <w:tcBorders>
              <w:left w:val="nil"/>
              <w:bottom w:val="nil"/>
            </w:tcBorders>
          </w:tcPr>
          <w:p w14:paraId="5BB21229" w14:textId="77777777" w:rsidR="00B15DC0" w:rsidRPr="00D46670" w:rsidRDefault="00B15DC0" w:rsidP="00E5711C">
            <w:pPr>
              <w:keepNext/>
              <w:keepLines/>
            </w:pPr>
          </w:p>
        </w:tc>
      </w:tr>
      <w:tr w:rsidR="00B15DC0" w14:paraId="095C280C" w14:textId="77777777" w:rsidTr="003D42C1">
        <w:trPr>
          <w:trHeight w:hRule="exact" w:val="425"/>
          <w:jc w:val="center"/>
        </w:trPr>
        <w:tc>
          <w:tcPr>
            <w:tcW w:w="794" w:type="dxa"/>
            <w:vMerge/>
            <w:tcBorders>
              <w:bottom w:val="nil"/>
            </w:tcBorders>
          </w:tcPr>
          <w:p w14:paraId="2B978F86" w14:textId="77777777" w:rsidR="00B15DC0" w:rsidRPr="00D46670" w:rsidRDefault="00B15DC0" w:rsidP="00E5711C">
            <w:pPr>
              <w:keepNext/>
              <w:keepLines/>
              <w:jc w:val="center"/>
            </w:pPr>
          </w:p>
        </w:tc>
        <w:tc>
          <w:tcPr>
            <w:tcW w:w="2778" w:type="dxa"/>
            <w:vMerge/>
            <w:tcBorders>
              <w:bottom w:val="nil"/>
            </w:tcBorders>
          </w:tcPr>
          <w:p w14:paraId="7069D873" w14:textId="77777777" w:rsidR="00B15DC0" w:rsidRPr="00D46670" w:rsidRDefault="00B15DC0" w:rsidP="00E5711C">
            <w:pPr>
              <w:keepNext/>
              <w:keepLines/>
              <w:ind w:left="57" w:right="57"/>
            </w:pPr>
          </w:p>
        </w:tc>
        <w:tc>
          <w:tcPr>
            <w:tcW w:w="2835" w:type="dxa"/>
            <w:vMerge/>
          </w:tcPr>
          <w:p w14:paraId="27A1ACA3" w14:textId="77777777" w:rsidR="00B15DC0" w:rsidRPr="00D46670" w:rsidRDefault="00B15DC0" w:rsidP="00E5711C">
            <w:pPr>
              <w:keepNext/>
              <w:keepLines/>
              <w:spacing w:before="120" w:after="120"/>
              <w:ind w:left="57" w:right="57"/>
            </w:pPr>
          </w:p>
        </w:tc>
        <w:tc>
          <w:tcPr>
            <w:tcW w:w="397" w:type="dxa"/>
            <w:tcBorders>
              <w:top w:val="nil"/>
              <w:bottom w:val="nil"/>
              <w:right w:val="single" w:sz="4" w:space="0" w:color="auto"/>
            </w:tcBorders>
          </w:tcPr>
          <w:p w14:paraId="0068C29C" w14:textId="77777777" w:rsidR="00B15DC0" w:rsidRPr="00D46670" w:rsidRDefault="00B15DC0" w:rsidP="00E5711C">
            <w:pPr>
              <w:keepNext/>
              <w:keepLines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8289" w14:textId="77777777" w:rsidR="00B15DC0" w:rsidRPr="00D46670" w:rsidRDefault="00B15DC0" w:rsidP="00E5711C">
            <w:pPr>
              <w:keepNext/>
              <w:keepLines/>
              <w:jc w:val="center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</w:tcBorders>
          </w:tcPr>
          <w:p w14:paraId="37E28D86" w14:textId="77777777" w:rsidR="00B15DC0" w:rsidRPr="00D46670" w:rsidRDefault="00B15DC0" w:rsidP="00E5711C">
            <w:pPr>
              <w:keepNext/>
              <w:keepLines/>
            </w:pPr>
          </w:p>
        </w:tc>
      </w:tr>
      <w:tr w:rsidR="00B15DC0" w14:paraId="2B9F30C7" w14:textId="77777777" w:rsidTr="00B15DC0">
        <w:trPr>
          <w:jc w:val="center"/>
        </w:trPr>
        <w:tc>
          <w:tcPr>
            <w:tcW w:w="794" w:type="dxa"/>
            <w:vMerge/>
            <w:tcBorders>
              <w:bottom w:val="nil"/>
            </w:tcBorders>
          </w:tcPr>
          <w:p w14:paraId="2F790A16" w14:textId="77777777" w:rsidR="00B15DC0" w:rsidRPr="00D46670" w:rsidRDefault="00B15DC0" w:rsidP="00E5711C">
            <w:pPr>
              <w:keepNext/>
              <w:keepLines/>
              <w:jc w:val="center"/>
            </w:pPr>
          </w:p>
        </w:tc>
        <w:tc>
          <w:tcPr>
            <w:tcW w:w="2778" w:type="dxa"/>
            <w:vMerge/>
            <w:tcBorders>
              <w:bottom w:val="nil"/>
            </w:tcBorders>
          </w:tcPr>
          <w:p w14:paraId="5184AA89" w14:textId="77777777" w:rsidR="00B15DC0" w:rsidRPr="00D46670" w:rsidRDefault="00B15DC0" w:rsidP="00E5711C">
            <w:pPr>
              <w:keepNext/>
              <w:keepLines/>
              <w:ind w:left="57" w:right="57"/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14:paraId="698F1A9D" w14:textId="77777777" w:rsidR="00B15DC0" w:rsidRPr="00D46670" w:rsidRDefault="00B15DC0" w:rsidP="00E5711C">
            <w:pPr>
              <w:keepNext/>
              <w:keepLines/>
              <w:spacing w:before="120" w:after="120"/>
              <w:ind w:left="57" w:right="57"/>
            </w:pPr>
          </w:p>
        </w:tc>
        <w:tc>
          <w:tcPr>
            <w:tcW w:w="397" w:type="dxa"/>
            <w:tcBorders>
              <w:top w:val="nil"/>
              <w:bottom w:val="nil"/>
              <w:right w:val="nil"/>
            </w:tcBorders>
          </w:tcPr>
          <w:p w14:paraId="31FCF8DD" w14:textId="77777777" w:rsidR="00B15DC0" w:rsidRPr="00D46670" w:rsidRDefault="00B15DC0" w:rsidP="00E5711C">
            <w:pPr>
              <w:keepNext/>
              <w:keepLines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40B7A" w14:textId="77777777" w:rsidR="00B15DC0" w:rsidRPr="00D46670" w:rsidRDefault="00B15DC0" w:rsidP="00E5711C">
            <w:pPr>
              <w:keepNext/>
              <w:keepLines/>
              <w:spacing w:before="120" w:after="120"/>
              <w:jc w:val="center"/>
            </w:pPr>
            <w:r w:rsidRPr="00D46670">
              <w:t>С информацией ознакомлен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</w:tcBorders>
          </w:tcPr>
          <w:p w14:paraId="57993550" w14:textId="77777777" w:rsidR="00B15DC0" w:rsidRPr="00D46670" w:rsidRDefault="00B15DC0" w:rsidP="00E5711C">
            <w:pPr>
              <w:keepNext/>
              <w:keepLines/>
            </w:pPr>
          </w:p>
        </w:tc>
      </w:tr>
      <w:tr w:rsidR="00A81C1F" w14:paraId="1008BC46" w14:textId="77777777" w:rsidTr="00B15DC0">
        <w:trPr>
          <w:jc w:val="center"/>
        </w:trPr>
        <w:tc>
          <w:tcPr>
            <w:tcW w:w="794" w:type="dxa"/>
            <w:tcBorders>
              <w:top w:val="nil"/>
              <w:bottom w:val="nil"/>
            </w:tcBorders>
          </w:tcPr>
          <w:p w14:paraId="17786270" w14:textId="77777777" w:rsidR="00A81C1F" w:rsidRPr="00D46670" w:rsidRDefault="00A81C1F" w:rsidP="00E5711C">
            <w:pPr>
              <w:keepNext/>
              <w:keepLines/>
              <w:jc w:val="center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006529F3" w14:textId="3D023F87" w:rsidR="00A81C1F" w:rsidRPr="00D46670" w:rsidRDefault="00A81C1F" w:rsidP="00E5711C">
            <w:pPr>
              <w:keepNext/>
              <w:keepLines/>
              <w:ind w:left="57" w:right="57" w:firstLine="227"/>
            </w:pPr>
            <w:r>
              <w:t>о рисках, связанных с совершением операций на рынке ценных бумаг;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406F8CA" w14:textId="77777777" w:rsidR="00A81C1F" w:rsidRPr="00D46670" w:rsidRDefault="00A81C1F" w:rsidP="00E5711C">
            <w:pPr>
              <w:keepNext/>
              <w:keepLines/>
              <w:spacing w:before="120" w:after="120"/>
              <w:ind w:left="57" w:right="57"/>
            </w:pPr>
          </w:p>
        </w:tc>
        <w:tc>
          <w:tcPr>
            <w:tcW w:w="397" w:type="dxa"/>
            <w:tcBorders>
              <w:top w:val="nil"/>
              <w:bottom w:val="nil"/>
              <w:right w:val="nil"/>
            </w:tcBorders>
          </w:tcPr>
          <w:p w14:paraId="5A8328FC" w14:textId="77777777" w:rsidR="00A81C1F" w:rsidRPr="00D46670" w:rsidRDefault="00A81C1F" w:rsidP="00E5711C">
            <w:pPr>
              <w:keepNext/>
              <w:keepLines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4C83E56" w14:textId="77777777" w:rsidR="00A81C1F" w:rsidRPr="00D46670" w:rsidRDefault="00A81C1F" w:rsidP="00E5711C">
            <w:pPr>
              <w:keepNext/>
              <w:keepLines/>
              <w:spacing w:before="120" w:after="12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</w:tcBorders>
          </w:tcPr>
          <w:p w14:paraId="410C4D92" w14:textId="77777777" w:rsidR="00A81C1F" w:rsidRPr="00D46670" w:rsidRDefault="00A81C1F" w:rsidP="00E5711C">
            <w:pPr>
              <w:keepNext/>
              <w:keepLines/>
            </w:pPr>
          </w:p>
        </w:tc>
      </w:tr>
      <w:tr w:rsidR="00A81C1F" w14:paraId="64EDEEE9" w14:textId="77777777" w:rsidTr="00B15DC0">
        <w:trPr>
          <w:jc w:val="center"/>
        </w:trPr>
        <w:tc>
          <w:tcPr>
            <w:tcW w:w="794" w:type="dxa"/>
            <w:tcBorders>
              <w:top w:val="nil"/>
              <w:bottom w:val="nil"/>
            </w:tcBorders>
          </w:tcPr>
          <w:p w14:paraId="1675E535" w14:textId="77777777" w:rsidR="00A81C1F" w:rsidRPr="00D46670" w:rsidRDefault="00A81C1F" w:rsidP="003E7152">
            <w:pPr>
              <w:jc w:val="center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43E6F054" w14:textId="5844B0E8" w:rsidR="00A81C1F" w:rsidRDefault="00A81C1F" w:rsidP="00AE4874">
            <w:pPr>
              <w:ind w:left="57" w:right="57" w:firstLine="227"/>
            </w:pPr>
            <w:r>
              <w:t>о рисках, связанных с совершением маржинальных сделок </w:t>
            </w:r>
            <w:r>
              <w:rPr>
                <w:rStyle w:val="a9"/>
              </w:rPr>
              <w:footnoteReference w:customMarkFollows="1" w:id="1"/>
              <w:t>2</w:t>
            </w:r>
            <w:r>
              <w:t xml:space="preserve"> (информация раскрывается при заключении договора о брокерском обслуживании);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D9EAAB3" w14:textId="77777777" w:rsidR="00A81C1F" w:rsidRPr="00D46670" w:rsidRDefault="00A81C1F" w:rsidP="003E7152">
            <w:pPr>
              <w:spacing w:before="120" w:after="120"/>
              <w:ind w:left="57" w:right="57"/>
            </w:pPr>
          </w:p>
        </w:tc>
        <w:tc>
          <w:tcPr>
            <w:tcW w:w="397" w:type="dxa"/>
            <w:tcBorders>
              <w:top w:val="nil"/>
              <w:bottom w:val="nil"/>
              <w:right w:val="nil"/>
            </w:tcBorders>
          </w:tcPr>
          <w:p w14:paraId="1B0742E3" w14:textId="77777777" w:rsidR="00A81C1F" w:rsidRPr="00D46670" w:rsidRDefault="00A81C1F" w:rsidP="003E7152"/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09DB83D" w14:textId="77777777" w:rsidR="00A81C1F" w:rsidRPr="00D46670" w:rsidRDefault="00A81C1F" w:rsidP="003E7152">
            <w:pPr>
              <w:spacing w:before="120" w:after="12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</w:tcBorders>
          </w:tcPr>
          <w:p w14:paraId="3DB1B15C" w14:textId="77777777" w:rsidR="00A81C1F" w:rsidRPr="00D46670" w:rsidRDefault="00A81C1F" w:rsidP="003E7152"/>
        </w:tc>
      </w:tr>
      <w:tr w:rsidR="00A81C1F" w14:paraId="3611C4C2" w14:textId="77777777" w:rsidTr="00B15DC0">
        <w:trPr>
          <w:jc w:val="center"/>
        </w:trPr>
        <w:tc>
          <w:tcPr>
            <w:tcW w:w="794" w:type="dxa"/>
            <w:tcBorders>
              <w:top w:val="nil"/>
              <w:bottom w:val="nil"/>
            </w:tcBorders>
          </w:tcPr>
          <w:p w14:paraId="493E610C" w14:textId="77777777" w:rsidR="00A81C1F" w:rsidRPr="00D46670" w:rsidRDefault="00A81C1F" w:rsidP="003E7152">
            <w:pPr>
              <w:jc w:val="center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791DED3C" w14:textId="13CD8853" w:rsidR="00A81C1F" w:rsidRDefault="00A81C1F" w:rsidP="00AE4874">
            <w:pPr>
              <w:ind w:left="57" w:right="57" w:firstLine="227"/>
            </w:pPr>
            <w:r>
              <w:t>о рисках, связанных с приобретением ценных бумаг иностранных эмитентов;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C231BDF" w14:textId="77777777" w:rsidR="00A81C1F" w:rsidRPr="00D46670" w:rsidRDefault="00A81C1F" w:rsidP="003E7152">
            <w:pPr>
              <w:spacing w:before="120" w:after="120"/>
              <w:ind w:left="57" w:right="57"/>
            </w:pPr>
          </w:p>
        </w:tc>
        <w:tc>
          <w:tcPr>
            <w:tcW w:w="397" w:type="dxa"/>
            <w:tcBorders>
              <w:top w:val="nil"/>
              <w:bottom w:val="nil"/>
              <w:right w:val="nil"/>
            </w:tcBorders>
          </w:tcPr>
          <w:p w14:paraId="39F10444" w14:textId="77777777" w:rsidR="00A81C1F" w:rsidRPr="00D46670" w:rsidRDefault="00A81C1F" w:rsidP="003E7152"/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E3D7EC4" w14:textId="77777777" w:rsidR="00A81C1F" w:rsidRPr="00D46670" w:rsidRDefault="00A81C1F" w:rsidP="003E7152">
            <w:pPr>
              <w:spacing w:before="120" w:after="12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</w:tcBorders>
          </w:tcPr>
          <w:p w14:paraId="48350BC8" w14:textId="77777777" w:rsidR="00A81C1F" w:rsidRPr="00D46670" w:rsidRDefault="00A81C1F" w:rsidP="003E7152"/>
        </w:tc>
      </w:tr>
      <w:tr w:rsidR="00A81C1F" w14:paraId="022E58F7" w14:textId="77777777" w:rsidTr="007C0F62">
        <w:trPr>
          <w:trHeight w:val="2268"/>
          <w:jc w:val="center"/>
        </w:trPr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14:paraId="31FCBA8F" w14:textId="77777777" w:rsidR="00A81C1F" w:rsidRPr="00D46670" w:rsidRDefault="00A81C1F" w:rsidP="003E7152">
            <w:pPr>
              <w:jc w:val="center"/>
            </w:pPr>
          </w:p>
        </w:tc>
        <w:tc>
          <w:tcPr>
            <w:tcW w:w="2778" w:type="dxa"/>
            <w:tcBorders>
              <w:top w:val="nil"/>
              <w:bottom w:val="single" w:sz="4" w:space="0" w:color="auto"/>
            </w:tcBorders>
          </w:tcPr>
          <w:p w14:paraId="478DD106" w14:textId="718262AC" w:rsidR="00A81C1F" w:rsidRDefault="00A81C1F" w:rsidP="00AE4874">
            <w:pPr>
              <w:ind w:left="57" w:right="57" w:firstLine="227"/>
            </w:pPr>
            <w:r>
              <w:t>о рисках, связанных с заключением и исполнением ПФИ, в том числе базисным активом которого являются ценные бумаги иностранных эмитентов или индексы, рассчитываемые исходя из стоимости указанных ценных бумаг;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6989B30" w14:textId="77777777" w:rsidR="00A81C1F" w:rsidRPr="00D46670" w:rsidRDefault="00A81C1F" w:rsidP="003E7152">
            <w:pPr>
              <w:spacing w:before="120" w:after="120"/>
              <w:ind w:left="57" w:right="57"/>
            </w:pPr>
          </w:p>
        </w:tc>
        <w:tc>
          <w:tcPr>
            <w:tcW w:w="397" w:type="dxa"/>
            <w:tcBorders>
              <w:top w:val="nil"/>
              <w:bottom w:val="single" w:sz="4" w:space="0" w:color="auto"/>
              <w:right w:val="nil"/>
            </w:tcBorders>
          </w:tcPr>
          <w:p w14:paraId="47864945" w14:textId="77777777" w:rsidR="00A81C1F" w:rsidRPr="00D46670" w:rsidRDefault="00A81C1F" w:rsidP="003E7152"/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B5A4D3" w14:textId="77777777" w:rsidR="00A81C1F" w:rsidRPr="00D46670" w:rsidRDefault="00A81C1F" w:rsidP="003E7152">
            <w:pPr>
              <w:spacing w:before="120" w:after="12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</w:tcBorders>
          </w:tcPr>
          <w:p w14:paraId="2480F471" w14:textId="77777777" w:rsidR="00A81C1F" w:rsidRPr="00D46670" w:rsidRDefault="00A81C1F" w:rsidP="003E7152"/>
        </w:tc>
      </w:tr>
      <w:tr w:rsidR="00A81C1F" w14:paraId="4158698F" w14:textId="77777777" w:rsidTr="00B15DC0">
        <w:trPr>
          <w:cantSplit/>
          <w:jc w:val="center"/>
        </w:trPr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6034C248" w14:textId="77777777" w:rsidR="00A81C1F" w:rsidRPr="00D46670" w:rsidRDefault="00A81C1F" w:rsidP="00324AF9">
            <w:pPr>
              <w:spacing w:before="120"/>
              <w:jc w:val="center"/>
            </w:pPr>
          </w:p>
        </w:tc>
        <w:tc>
          <w:tcPr>
            <w:tcW w:w="2778" w:type="dxa"/>
            <w:tcBorders>
              <w:top w:val="single" w:sz="4" w:space="0" w:color="auto"/>
              <w:bottom w:val="nil"/>
            </w:tcBorders>
          </w:tcPr>
          <w:p w14:paraId="630E226A" w14:textId="0F4ABFF2" w:rsidR="00A81C1F" w:rsidRDefault="00A81C1F" w:rsidP="00324AF9">
            <w:pPr>
              <w:spacing w:before="120"/>
              <w:ind w:left="57" w:right="57" w:firstLine="227"/>
            </w:pPr>
            <w:r>
              <w:t>о рисках, связанных с использованием программ для электронных вычислительных машин, посредством которых предоставляются индивидуальные инвестиционные рекомендации, включая программы, которые позволяют автоматизированным способом преобразовывать предоставленную индивидуальную инвестиционную рекомендацию в поручение брокеру на совершение сделки с ценной бумагой и (или) на заключение ПФИ, предусмотренных индивидуальной инвестиционной рекомендацией, без непосредственного участия физического лица (в случае если брокер является лицом, осуществляющим деятельность по инвестиционному консультированию, и предлагает физическому лицу при заключении договора о брокерском обслуживании также заключить договор об инвестиционном консультировании) (информация раскрывается при заключении договора о брокерском обслуживании);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304B29AE" w14:textId="77777777" w:rsidR="00A81C1F" w:rsidRPr="00D46670" w:rsidRDefault="00A81C1F" w:rsidP="003E7152">
            <w:pPr>
              <w:spacing w:before="120" w:after="120"/>
              <w:ind w:left="57" w:right="57"/>
            </w:pPr>
          </w:p>
        </w:tc>
        <w:tc>
          <w:tcPr>
            <w:tcW w:w="397" w:type="dxa"/>
            <w:tcBorders>
              <w:top w:val="single" w:sz="4" w:space="0" w:color="auto"/>
              <w:bottom w:val="nil"/>
              <w:right w:val="nil"/>
            </w:tcBorders>
          </w:tcPr>
          <w:p w14:paraId="4E8AC4A3" w14:textId="77777777" w:rsidR="00A81C1F" w:rsidRPr="00D46670" w:rsidRDefault="00A81C1F" w:rsidP="003E7152"/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A6858B" w14:textId="77777777" w:rsidR="00A81C1F" w:rsidRPr="00D46670" w:rsidRDefault="00A81C1F" w:rsidP="003E7152">
            <w:pPr>
              <w:spacing w:before="120" w:after="120"/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</w:tcBorders>
          </w:tcPr>
          <w:p w14:paraId="5B5E07A7" w14:textId="77777777" w:rsidR="00A81C1F" w:rsidRPr="00D46670" w:rsidRDefault="00A81C1F" w:rsidP="003E7152"/>
        </w:tc>
      </w:tr>
      <w:tr w:rsidR="00B15DC0" w14:paraId="39376D8F" w14:textId="77777777" w:rsidTr="00B15DC0">
        <w:trPr>
          <w:cantSplit/>
          <w:jc w:val="center"/>
        </w:trPr>
        <w:tc>
          <w:tcPr>
            <w:tcW w:w="794" w:type="dxa"/>
            <w:tcBorders>
              <w:top w:val="nil"/>
              <w:bottom w:val="nil"/>
            </w:tcBorders>
          </w:tcPr>
          <w:p w14:paraId="69026150" w14:textId="77777777" w:rsidR="00B15DC0" w:rsidRPr="00D46670" w:rsidRDefault="00B15DC0" w:rsidP="003E7152">
            <w:pPr>
              <w:jc w:val="center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1B5C30FA" w14:textId="65C588E6" w:rsidR="00B15DC0" w:rsidRDefault="00B15DC0" w:rsidP="00B15DC0">
            <w:pPr>
              <w:ind w:left="57" w:right="57" w:firstLine="227"/>
            </w:pPr>
            <w:r w:rsidRPr="008808F5">
              <w:t>о рисках, связанных с использованием брокером в своих интересах денежных средств физического лица, находящихся на специальном брокерском счете (счетах), если это предусмотрено договором о брокерском обслуживании (информация раскрывается при заключении договора о брокерском обслуживании);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ACFA469" w14:textId="77777777" w:rsidR="00B15DC0" w:rsidRPr="00D46670" w:rsidRDefault="00B15DC0" w:rsidP="003E7152">
            <w:pPr>
              <w:spacing w:before="120" w:after="120"/>
              <w:ind w:left="57" w:right="57"/>
            </w:pPr>
          </w:p>
        </w:tc>
        <w:tc>
          <w:tcPr>
            <w:tcW w:w="397" w:type="dxa"/>
            <w:tcBorders>
              <w:top w:val="nil"/>
              <w:bottom w:val="nil"/>
              <w:right w:val="nil"/>
            </w:tcBorders>
          </w:tcPr>
          <w:p w14:paraId="4AE335D2" w14:textId="77777777" w:rsidR="00B15DC0" w:rsidRPr="00D46670" w:rsidRDefault="00B15DC0" w:rsidP="003E7152"/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994A5CA" w14:textId="77777777" w:rsidR="00B15DC0" w:rsidRPr="00D46670" w:rsidRDefault="00B15DC0" w:rsidP="003E7152">
            <w:pPr>
              <w:spacing w:before="120" w:after="12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</w:tcBorders>
          </w:tcPr>
          <w:p w14:paraId="26A8EA76" w14:textId="77777777" w:rsidR="00B15DC0" w:rsidRPr="00D46670" w:rsidRDefault="00B15DC0" w:rsidP="003E7152"/>
        </w:tc>
      </w:tr>
      <w:tr w:rsidR="00B15DC0" w14:paraId="48E3AF29" w14:textId="77777777" w:rsidTr="00324AF9">
        <w:trPr>
          <w:cantSplit/>
          <w:trHeight w:val="1531"/>
          <w:jc w:val="center"/>
        </w:trPr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14:paraId="4B780A7B" w14:textId="77777777" w:rsidR="00B15DC0" w:rsidRPr="00D46670" w:rsidRDefault="00B15DC0" w:rsidP="003E7152">
            <w:pPr>
              <w:jc w:val="center"/>
            </w:pPr>
          </w:p>
        </w:tc>
        <w:tc>
          <w:tcPr>
            <w:tcW w:w="2778" w:type="dxa"/>
            <w:tcBorders>
              <w:top w:val="nil"/>
              <w:bottom w:val="single" w:sz="4" w:space="0" w:color="auto"/>
            </w:tcBorders>
          </w:tcPr>
          <w:p w14:paraId="5736EE58" w14:textId="46341CEE" w:rsidR="00B15DC0" w:rsidRDefault="00B15DC0" w:rsidP="00B15DC0">
            <w:pPr>
              <w:ind w:left="57" w:right="57" w:firstLine="227"/>
            </w:pPr>
            <w:r>
              <w:t>об общем характере и (или) источниках конфликта интересов, который может возникнуть у брокера, управляющего, инвестиционного советника;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16281C1" w14:textId="77777777" w:rsidR="00B15DC0" w:rsidRPr="00D46670" w:rsidRDefault="00B15DC0" w:rsidP="003E7152">
            <w:pPr>
              <w:spacing w:before="120" w:after="120"/>
              <w:ind w:left="57" w:right="57"/>
            </w:pPr>
          </w:p>
        </w:tc>
        <w:tc>
          <w:tcPr>
            <w:tcW w:w="397" w:type="dxa"/>
            <w:tcBorders>
              <w:top w:val="nil"/>
              <w:bottom w:val="single" w:sz="4" w:space="0" w:color="auto"/>
              <w:right w:val="nil"/>
            </w:tcBorders>
          </w:tcPr>
          <w:p w14:paraId="6B18B682" w14:textId="77777777" w:rsidR="00B15DC0" w:rsidRPr="00D46670" w:rsidRDefault="00B15DC0" w:rsidP="003E7152"/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1E7A8F" w14:textId="77777777" w:rsidR="00B15DC0" w:rsidRPr="00D46670" w:rsidRDefault="00B15DC0" w:rsidP="003E7152">
            <w:pPr>
              <w:spacing w:before="120" w:after="12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</w:tcBorders>
          </w:tcPr>
          <w:p w14:paraId="625097FD" w14:textId="77777777" w:rsidR="00B15DC0" w:rsidRPr="00D46670" w:rsidRDefault="00B15DC0" w:rsidP="003E7152"/>
        </w:tc>
      </w:tr>
      <w:tr w:rsidR="00B15DC0" w14:paraId="0362F8D3" w14:textId="77777777" w:rsidTr="00B15DC0">
        <w:trPr>
          <w:cantSplit/>
          <w:jc w:val="center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00163AC8" w14:textId="77777777" w:rsidR="00B15DC0" w:rsidRPr="00D46670" w:rsidRDefault="00B15DC0" w:rsidP="00324AF9">
            <w:pPr>
              <w:spacing w:before="120"/>
              <w:jc w:val="center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6FD9C459" w14:textId="0A4CDD27" w:rsidR="00B15DC0" w:rsidRPr="008808F5" w:rsidRDefault="00B15DC0" w:rsidP="00324AF9">
            <w:pPr>
              <w:spacing w:before="120" w:after="120"/>
              <w:ind w:left="57" w:right="57" w:firstLine="227"/>
            </w:pPr>
            <w:r>
              <w:t>о праве физического лица на получение по его запросу информации о видах и суммах платежей (порядке определения сумм платежей), которые физическое лицо должен будет уплатить за предоставление ему финансовой услуги, включая информацию о размере вознаграждения (порядке определения размера вознаграждения) брокера и порядке его уплаты (информация раскрывается при заключении договора о брокерском обслуживании)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04E854B" w14:textId="77777777" w:rsidR="00B15DC0" w:rsidRPr="00D46670" w:rsidRDefault="00B15DC0" w:rsidP="003E7152">
            <w:pPr>
              <w:spacing w:before="120" w:after="120"/>
              <w:ind w:left="57" w:right="57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F5C5235" w14:textId="77777777" w:rsidR="00B15DC0" w:rsidRPr="00D46670" w:rsidRDefault="00B15DC0" w:rsidP="003E7152"/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CA8B6E" w14:textId="77777777" w:rsidR="00B15DC0" w:rsidRPr="00D46670" w:rsidRDefault="00B15DC0" w:rsidP="003E7152">
            <w:pPr>
              <w:spacing w:before="120" w:after="120"/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C53BC14" w14:textId="77777777" w:rsidR="00B15DC0" w:rsidRPr="00D46670" w:rsidRDefault="00B15DC0" w:rsidP="003E7152"/>
        </w:tc>
      </w:tr>
      <w:tr w:rsidR="004B4A6E" w14:paraId="49889E37" w14:textId="77777777" w:rsidTr="004B4A6E">
        <w:trPr>
          <w:trHeight w:val="425"/>
          <w:jc w:val="center"/>
        </w:trPr>
        <w:tc>
          <w:tcPr>
            <w:tcW w:w="794" w:type="dxa"/>
            <w:vMerge w:val="restart"/>
            <w:tcBorders>
              <w:bottom w:val="nil"/>
            </w:tcBorders>
          </w:tcPr>
          <w:p w14:paraId="5F851EBF" w14:textId="4C0E9A23" w:rsidR="004B4A6E" w:rsidRPr="00D46670" w:rsidRDefault="004B4A6E" w:rsidP="003E7152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2778" w:type="dxa"/>
            <w:vMerge w:val="restart"/>
            <w:tcBorders>
              <w:bottom w:val="nil"/>
            </w:tcBorders>
          </w:tcPr>
          <w:p w14:paraId="10F96539" w14:textId="298545BB" w:rsidR="004B4A6E" w:rsidRPr="00D46670" w:rsidRDefault="004B4A6E" w:rsidP="003D7957">
            <w:pPr>
              <w:spacing w:before="120" w:after="240"/>
              <w:ind w:left="57" w:right="57" w:firstLine="227"/>
            </w:pPr>
            <w:r>
              <w:t>Информация о том, что права и обязанности по договору о брокерском обслуживании, договору доверительного управления, договору об инвестиционном консультировании возникают у брокера, управляющего, инвестиционного советника</w:t>
            </w:r>
          </w:p>
        </w:tc>
        <w:tc>
          <w:tcPr>
            <w:tcW w:w="2835" w:type="dxa"/>
            <w:vMerge w:val="restart"/>
            <w:tcBorders>
              <w:top w:val="nil"/>
            </w:tcBorders>
          </w:tcPr>
          <w:p w14:paraId="4AACFB65" w14:textId="77777777" w:rsidR="004B4A6E" w:rsidRPr="00D46670" w:rsidRDefault="004B4A6E" w:rsidP="003E7152">
            <w:pPr>
              <w:spacing w:before="120" w:after="120"/>
              <w:ind w:left="57" w:right="57"/>
            </w:pPr>
          </w:p>
        </w:tc>
        <w:tc>
          <w:tcPr>
            <w:tcW w:w="397" w:type="dxa"/>
            <w:tcBorders>
              <w:bottom w:val="nil"/>
              <w:right w:val="nil"/>
            </w:tcBorders>
          </w:tcPr>
          <w:p w14:paraId="69353AAA" w14:textId="77777777" w:rsidR="004B4A6E" w:rsidRPr="00D46670" w:rsidRDefault="004B4A6E" w:rsidP="003E7152">
            <w:pPr>
              <w:keepNext/>
              <w:keepLines/>
            </w:pPr>
          </w:p>
        </w:tc>
        <w:tc>
          <w:tcPr>
            <w:tcW w:w="1928" w:type="dxa"/>
            <w:tcBorders>
              <w:left w:val="nil"/>
              <w:bottom w:val="single" w:sz="4" w:space="0" w:color="auto"/>
              <w:right w:val="nil"/>
            </w:tcBorders>
          </w:tcPr>
          <w:p w14:paraId="3A1877F4" w14:textId="77777777" w:rsidR="004B4A6E" w:rsidRPr="00D46670" w:rsidRDefault="004B4A6E" w:rsidP="003E7152">
            <w:pPr>
              <w:keepNext/>
              <w:keepLines/>
              <w:jc w:val="center"/>
            </w:pPr>
          </w:p>
        </w:tc>
        <w:tc>
          <w:tcPr>
            <w:tcW w:w="397" w:type="dxa"/>
            <w:tcBorders>
              <w:left w:val="nil"/>
              <w:bottom w:val="nil"/>
            </w:tcBorders>
          </w:tcPr>
          <w:p w14:paraId="57BEB091" w14:textId="77777777" w:rsidR="004B4A6E" w:rsidRPr="00D46670" w:rsidRDefault="004B4A6E" w:rsidP="003E7152">
            <w:pPr>
              <w:keepNext/>
              <w:keepLines/>
            </w:pPr>
          </w:p>
        </w:tc>
      </w:tr>
      <w:tr w:rsidR="004B4A6E" w14:paraId="7B0878DB" w14:textId="77777777" w:rsidTr="003E7152">
        <w:trPr>
          <w:trHeight w:hRule="exact" w:val="425"/>
          <w:jc w:val="center"/>
        </w:trPr>
        <w:tc>
          <w:tcPr>
            <w:tcW w:w="794" w:type="dxa"/>
            <w:vMerge/>
            <w:tcBorders>
              <w:bottom w:val="nil"/>
            </w:tcBorders>
          </w:tcPr>
          <w:p w14:paraId="192A8145" w14:textId="77777777" w:rsidR="004B4A6E" w:rsidRPr="00D46670" w:rsidRDefault="004B4A6E" w:rsidP="003E7152">
            <w:pPr>
              <w:jc w:val="center"/>
            </w:pPr>
          </w:p>
        </w:tc>
        <w:tc>
          <w:tcPr>
            <w:tcW w:w="2778" w:type="dxa"/>
            <w:vMerge/>
            <w:tcBorders>
              <w:bottom w:val="nil"/>
            </w:tcBorders>
          </w:tcPr>
          <w:p w14:paraId="0EADED04" w14:textId="77777777" w:rsidR="004B4A6E" w:rsidRPr="00D46670" w:rsidRDefault="004B4A6E" w:rsidP="003E7152">
            <w:pPr>
              <w:ind w:left="57" w:right="57"/>
            </w:pPr>
          </w:p>
        </w:tc>
        <w:tc>
          <w:tcPr>
            <w:tcW w:w="2835" w:type="dxa"/>
            <w:vMerge/>
          </w:tcPr>
          <w:p w14:paraId="416A67BA" w14:textId="77777777" w:rsidR="004B4A6E" w:rsidRPr="00D46670" w:rsidRDefault="004B4A6E" w:rsidP="003E7152">
            <w:pPr>
              <w:spacing w:before="120" w:after="120"/>
              <w:ind w:left="57" w:right="57"/>
            </w:pPr>
          </w:p>
        </w:tc>
        <w:tc>
          <w:tcPr>
            <w:tcW w:w="397" w:type="dxa"/>
            <w:tcBorders>
              <w:top w:val="nil"/>
              <w:bottom w:val="nil"/>
              <w:right w:val="single" w:sz="4" w:space="0" w:color="auto"/>
            </w:tcBorders>
          </w:tcPr>
          <w:p w14:paraId="2A1A2A08" w14:textId="77777777" w:rsidR="004B4A6E" w:rsidRPr="00D46670" w:rsidRDefault="004B4A6E" w:rsidP="003E7152">
            <w:pPr>
              <w:keepNext/>
              <w:keepLines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381E" w14:textId="77777777" w:rsidR="004B4A6E" w:rsidRPr="00D46670" w:rsidRDefault="004B4A6E" w:rsidP="003E7152">
            <w:pPr>
              <w:keepNext/>
              <w:keepLines/>
              <w:jc w:val="center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</w:tcBorders>
          </w:tcPr>
          <w:p w14:paraId="3734AE1E" w14:textId="77777777" w:rsidR="004B4A6E" w:rsidRPr="00D46670" w:rsidRDefault="004B4A6E" w:rsidP="003E7152">
            <w:pPr>
              <w:keepNext/>
              <w:keepLines/>
            </w:pPr>
          </w:p>
        </w:tc>
      </w:tr>
      <w:tr w:rsidR="004B4A6E" w14:paraId="2C1B7E2E" w14:textId="77777777" w:rsidTr="004B4A6E">
        <w:trPr>
          <w:jc w:val="center"/>
        </w:trPr>
        <w:tc>
          <w:tcPr>
            <w:tcW w:w="794" w:type="dxa"/>
            <w:vMerge/>
            <w:tcBorders>
              <w:bottom w:val="single" w:sz="4" w:space="0" w:color="auto"/>
            </w:tcBorders>
          </w:tcPr>
          <w:p w14:paraId="0F116019" w14:textId="77777777" w:rsidR="004B4A6E" w:rsidRPr="00D46670" w:rsidRDefault="004B4A6E" w:rsidP="003E7152">
            <w:pPr>
              <w:jc w:val="center"/>
            </w:pPr>
          </w:p>
        </w:tc>
        <w:tc>
          <w:tcPr>
            <w:tcW w:w="2778" w:type="dxa"/>
            <w:vMerge/>
            <w:tcBorders>
              <w:bottom w:val="single" w:sz="4" w:space="0" w:color="auto"/>
            </w:tcBorders>
          </w:tcPr>
          <w:p w14:paraId="28A06059" w14:textId="77777777" w:rsidR="004B4A6E" w:rsidRPr="00D46670" w:rsidRDefault="004B4A6E" w:rsidP="003E7152">
            <w:pPr>
              <w:ind w:left="57" w:right="57"/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2B9CF1D4" w14:textId="77777777" w:rsidR="004B4A6E" w:rsidRPr="00D46670" w:rsidRDefault="004B4A6E" w:rsidP="003E7152">
            <w:pPr>
              <w:spacing w:before="120" w:after="120"/>
              <w:ind w:left="57" w:right="57"/>
            </w:pPr>
          </w:p>
        </w:tc>
        <w:tc>
          <w:tcPr>
            <w:tcW w:w="397" w:type="dxa"/>
            <w:tcBorders>
              <w:top w:val="nil"/>
              <w:bottom w:val="single" w:sz="4" w:space="0" w:color="auto"/>
              <w:right w:val="nil"/>
            </w:tcBorders>
          </w:tcPr>
          <w:p w14:paraId="3EF60E09" w14:textId="77777777" w:rsidR="004B4A6E" w:rsidRPr="00D46670" w:rsidRDefault="004B4A6E" w:rsidP="003E7152">
            <w:pPr>
              <w:keepNext/>
              <w:keepLines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8535B5" w14:textId="77777777" w:rsidR="004B4A6E" w:rsidRPr="00D46670" w:rsidRDefault="004B4A6E" w:rsidP="003E7152">
            <w:pPr>
              <w:keepNext/>
              <w:keepLines/>
              <w:spacing w:before="120" w:after="120"/>
              <w:jc w:val="center"/>
            </w:pPr>
            <w:r w:rsidRPr="00D46670">
              <w:t>С информацией ознакомлен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</w:tcBorders>
          </w:tcPr>
          <w:p w14:paraId="116A0A58" w14:textId="77777777" w:rsidR="004B4A6E" w:rsidRPr="00D46670" w:rsidRDefault="004B4A6E" w:rsidP="003E7152">
            <w:pPr>
              <w:keepNext/>
              <w:keepLines/>
            </w:pPr>
          </w:p>
        </w:tc>
      </w:tr>
      <w:tr w:rsidR="004B4A6E" w14:paraId="62EB300D" w14:textId="77777777" w:rsidTr="004B4A6E">
        <w:trPr>
          <w:trHeight w:val="425"/>
          <w:jc w:val="center"/>
        </w:trPr>
        <w:tc>
          <w:tcPr>
            <w:tcW w:w="794" w:type="dxa"/>
            <w:vMerge w:val="restart"/>
            <w:tcBorders>
              <w:top w:val="single" w:sz="4" w:space="0" w:color="auto"/>
              <w:bottom w:val="nil"/>
            </w:tcBorders>
          </w:tcPr>
          <w:p w14:paraId="0327F732" w14:textId="6652F9D5" w:rsidR="004B4A6E" w:rsidRPr="00D46670" w:rsidRDefault="004B4A6E" w:rsidP="003E7152">
            <w:pPr>
              <w:spacing w:before="120" w:after="120"/>
              <w:jc w:val="center"/>
            </w:pPr>
            <w:r>
              <w:t>4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nil"/>
            </w:tcBorders>
          </w:tcPr>
          <w:p w14:paraId="19798202" w14:textId="77777777" w:rsidR="004B4A6E" w:rsidRPr="004B4A6E" w:rsidRDefault="004B4A6E" w:rsidP="004B4A6E">
            <w:pPr>
              <w:spacing w:before="120"/>
              <w:ind w:left="57" w:right="57" w:firstLine="227"/>
            </w:pPr>
            <w:r w:rsidRPr="004B4A6E">
              <w:t>Информация о способах и об адресах направления обращений (в том числе жалоб) физических лиц, о порядке разрешения споров:</w:t>
            </w:r>
          </w:p>
          <w:p w14:paraId="2F42E7EC" w14:textId="2EE9A9F0" w:rsidR="004B4A6E" w:rsidRPr="00D46670" w:rsidRDefault="004B4A6E" w:rsidP="004B4A6E">
            <w:pPr>
              <w:ind w:left="57" w:right="57" w:firstLine="227"/>
            </w:pPr>
            <w:r w:rsidRPr="004B4A6E">
              <w:t xml:space="preserve">способы и адреса направления обращений (в том числе жалоб) физических лиц брокеру, управляющему, инвестиционному советнику, в том числе посредством их направления в кредитную организацию, действующую от имени и (или) по поручению брокера, управляющего, инвестиционного советника, в саморегулируемую организацию в сфере финансового рынка </w:t>
            </w:r>
            <w:r w:rsidR="006B3432">
              <w:br/>
            </w:r>
            <w:r w:rsidRPr="004B4A6E">
              <w:t xml:space="preserve">(далее </w:t>
            </w:r>
            <w:r w:rsidR="006B3432">
              <w:t>–</w:t>
            </w:r>
            <w:r w:rsidRPr="004B4A6E">
              <w:t xml:space="preserve"> СРО), объединяющую брокеров, СРО, объединяющую управляющих, СРО, объединяющую инвестиционных советников, в Банк России;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34C80967" w14:textId="77777777" w:rsidR="004B4A6E" w:rsidRPr="00D46670" w:rsidRDefault="004B4A6E" w:rsidP="003E7152">
            <w:pPr>
              <w:spacing w:before="120" w:after="120"/>
              <w:ind w:left="57" w:right="57"/>
            </w:pPr>
          </w:p>
        </w:tc>
        <w:tc>
          <w:tcPr>
            <w:tcW w:w="397" w:type="dxa"/>
            <w:tcBorders>
              <w:top w:val="single" w:sz="4" w:space="0" w:color="auto"/>
              <w:bottom w:val="nil"/>
              <w:right w:val="nil"/>
            </w:tcBorders>
          </w:tcPr>
          <w:p w14:paraId="791D7587" w14:textId="77777777" w:rsidR="004B4A6E" w:rsidRPr="00D46670" w:rsidRDefault="004B4A6E" w:rsidP="003E7152">
            <w:pPr>
              <w:keepNext/>
              <w:keepLines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32B653" w14:textId="77777777" w:rsidR="004B4A6E" w:rsidRPr="00D46670" w:rsidRDefault="004B4A6E" w:rsidP="003E7152">
            <w:pPr>
              <w:keepNext/>
              <w:keepLines/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</w:tcBorders>
          </w:tcPr>
          <w:p w14:paraId="068978C7" w14:textId="77777777" w:rsidR="004B4A6E" w:rsidRPr="00D46670" w:rsidRDefault="004B4A6E" w:rsidP="003E7152">
            <w:pPr>
              <w:keepNext/>
              <w:keepLines/>
            </w:pPr>
          </w:p>
        </w:tc>
      </w:tr>
      <w:tr w:rsidR="004B4A6E" w14:paraId="067B122D" w14:textId="77777777" w:rsidTr="003E7152">
        <w:trPr>
          <w:trHeight w:hRule="exact" w:val="425"/>
          <w:jc w:val="center"/>
        </w:trPr>
        <w:tc>
          <w:tcPr>
            <w:tcW w:w="794" w:type="dxa"/>
            <w:vMerge/>
            <w:tcBorders>
              <w:bottom w:val="nil"/>
            </w:tcBorders>
          </w:tcPr>
          <w:p w14:paraId="739F40AE" w14:textId="77777777" w:rsidR="004B4A6E" w:rsidRPr="00D46670" w:rsidRDefault="004B4A6E" w:rsidP="003E7152">
            <w:pPr>
              <w:jc w:val="center"/>
            </w:pPr>
          </w:p>
        </w:tc>
        <w:tc>
          <w:tcPr>
            <w:tcW w:w="2778" w:type="dxa"/>
            <w:vMerge/>
            <w:tcBorders>
              <w:bottom w:val="nil"/>
            </w:tcBorders>
          </w:tcPr>
          <w:p w14:paraId="3F814ADF" w14:textId="77777777" w:rsidR="004B4A6E" w:rsidRPr="00D46670" w:rsidRDefault="004B4A6E" w:rsidP="003E7152">
            <w:pPr>
              <w:ind w:left="57" w:right="57"/>
            </w:pPr>
          </w:p>
        </w:tc>
        <w:tc>
          <w:tcPr>
            <w:tcW w:w="2835" w:type="dxa"/>
            <w:vMerge/>
          </w:tcPr>
          <w:p w14:paraId="5E2229FF" w14:textId="77777777" w:rsidR="004B4A6E" w:rsidRPr="00D46670" w:rsidRDefault="004B4A6E" w:rsidP="003E7152">
            <w:pPr>
              <w:spacing w:before="120" w:after="120"/>
              <w:ind w:left="57" w:right="57"/>
            </w:pPr>
          </w:p>
        </w:tc>
        <w:tc>
          <w:tcPr>
            <w:tcW w:w="397" w:type="dxa"/>
            <w:tcBorders>
              <w:top w:val="nil"/>
              <w:bottom w:val="nil"/>
              <w:right w:val="single" w:sz="4" w:space="0" w:color="auto"/>
            </w:tcBorders>
          </w:tcPr>
          <w:p w14:paraId="5FB2056F" w14:textId="77777777" w:rsidR="004B4A6E" w:rsidRPr="00D46670" w:rsidRDefault="004B4A6E" w:rsidP="003E7152">
            <w:pPr>
              <w:keepNext/>
              <w:keepLines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5F72" w14:textId="77777777" w:rsidR="004B4A6E" w:rsidRPr="00D46670" w:rsidRDefault="004B4A6E" w:rsidP="003E7152">
            <w:pPr>
              <w:keepNext/>
              <w:keepLines/>
              <w:jc w:val="center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</w:tcBorders>
          </w:tcPr>
          <w:p w14:paraId="23657660" w14:textId="77777777" w:rsidR="004B4A6E" w:rsidRPr="00D46670" w:rsidRDefault="004B4A6E" w:rsidP="003E7152">
            <w:pPr>
              <w:keepNext/>
              <w:keepLines/>
            </w:pPr>
          </w:p>
        </w:tc>
      </w:tr>
      <w:tr w:rsidR="004B4A6E" w14:paraId="1CCCD630" w14:textId="77777777" w:rsidTr="004B4A6E">
        <w:trPr>
          <w:trHeight w:val="5613"/>
          <w:jc w:val="center"/>
        </w:trPr>
        <w:tc>
          <w:tcPr>
            <w:tcW w:w="794" w:type="dxa"/>
            <w:vMerge/>
            <w:tcBorders>
              <w:bottom w:val="single" w:sz="4" w:space="0" w:color="auto"/>
            </w:tcBorders>
          </w:tcPr>
          <w:p w14:paraId="3A74FEE5" w14:textId="77777777" w:rsidR="004B4A6E" w:rsidRPr="00D46670" w:rsidRDefault="004B4A6E" w:rsidP="003E7152">
            <w:pPr>
              <w:jc w:val="center"/>
            </w:pPr>
          </w:p>
        </w:tc>
        <w:tc>
          <w:tcPr>
            <w:tcW w:w="2778" w:type="dxa"/>
            <w:vMerge/>
            <w:tcBorders>
              <w:bottom w:val="single" w:sz="4" w:space="0" w:color="auto"/>
            </w:tcBorders>
          </w:tcPr>
          <w:p w14:paraId="35637A06" w14:textId="77777777" w:rsidR="004B4A6E" w:rsidRPr="00D46670" w:rsidRDefault="004B4A6E" w:rsidP="003E7152">
            <w:pPr>
              <w:ind w:left="57" w:right="57"/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444D020F" w14:textId="77777777" w:rsidR="004B4A6E" w:rsidRPr="00D46670" w:rsidRDefault="004B4A6E" w:rsidP="003E7152">
            <w:pPr>
              <w:spacing w:before="120" w:after="120"/>
              <w:ind w:left="57" w:right="57"/>
            </w:pPr>
          </w:p>
        </w:tc>
        <w:tc>
          <w:tcPr>
            <w:tcW w:w="397" w:type="dxa"/>
            <w:tcBorders>
              <w:top w:val="nil"/>
              <w:bottom w:val="single" w:sz="4" w:space="0" w:color="auto"/>
              <w:right w:val="nil"/>
            </w:tcBorders>
          </w:tcPr>
          <w:p w14:paraId="5954D709" w14:textId="77777777" w:rsidR="004B4A6E" w:rsidRPr="00D46670" w:rsidRDefault="004B4A6E" w:rsidP="003E7152">
            <w:pPr>
              <w:keepNext/>
              <w:keepLines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CA4917" w14:textId="77777777" w:rsidR="004B4A6E" w:rsidRPr="00D46670" w:rsidRDefault="004B4A6E" w:rsidP="003E7152">
            <w:pPr>
              <w:keepNext/>
              <w:keepLines/>
              <w:spacing w:before="120" w:after="120"/>
              <w:jc w:val="center"/>
            </w:pPr>
            <w:r w:rsidRPr="00D46670">
              <w:t>С информацией ознакомлен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</w:tcBorders>
          </w:tcPr>
          <w:p w14:paraId="3962C282" w14:textId="77777777" w:rsidR="004B4A6E" w:rsidRPr="00D46670" w:rsidRDefault="004B4A6E" w:rsidP="003E7152">
            <w:pPr>
              <w:keepNext/>
              <w:keepLines/>
            </w:pPr>
          </w:p>
        </w:tc>
      </w:tr>
      <w:tr w:rsidR="004B4A6E" w14:paraId="1078EC07" w14:textId="77777777" w:rsidTr="004B4A6E">
        <w:trPr>
          <w:cantSplit/>
          <w:jc w:val="center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614EB416" w14:textId="77777777" w:rsidR="004B4A6E" w:rsidRPr="00D46670" w:rsidRDefault="004B4A6E" w:rsidP="006B3432">
            <w:pPr>
              <w:spacing w:before="120" w:after="120"/>
              <w:jc w:val="center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235F9B97" w14:textId="0D79E978" w:rsidR="004B4A6E" w:rsidRPr="00D46670" w:rsidRDefault="004B4A6E" w:rsidP="006B3432">
            <w:pPr>
              <w:spacing w:before="120" w:after="120"/>
              <w:ind w:left="57" w:right="57"/>
            </w:pPr>
            <w:r w:rsidRPr="004B4A6E">
              <w:t>о наличии возможности и способах досудебного (внесудебного) урегулирования спора (включая порядок обращения к уполномоченному по правам потребителей финансовых услуг), процедуре медиации (при их наличии)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5E0C367" w14:textId="77777777" w:rsidR="004B4A6E" w:rsidRPr="00D46670" w:rsidRDefault="004B4A6E" w:rsidP="003E7152">
            <w:pPr>
              <w:spacing w:before="120" w:after="120"/>
              <w:ind w:left="57" w:right="57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AB50E33" w14:textId="77777777" w:rsidR="004B4A6E" w:rsidRPr="00D46670" w:rsidRDefault="004B4A6E" w:rsidP="003E7152">
            <w:pPr>
              <w:keepNext/>
              <w:keepLines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E94D1" w14:textId="77777777" w:rsidR="004B4A6E" w:rsidRPr="00D46670" w:rsidRDefault="004B4A6E" w:rsidP="003E7152">
            <w:pPr>
              <w:keepNext/>
              <w:keepLines/>
              <w:spacing w:before="120" w:after="120"/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1CFEB0C" w14:textId="77777777" w:rsidR="004B4A6E" w:rsidRPr="00D46670" w:rsidRDefault="004B4A6E" w:rsidP="003E7152">
            <w:pPr>
              <w:keepNext/>
              <w:keepLines/>
            </w:pPr>
          </w:p>
        </w:tc>
      </w:tr>
    </w:tbl>
    <w:p w14:paraId="2EDB91A5" w14:textId="77777777" w:rsidR="004B4A6E" w:rsidRPr="000F7E9D" w:rsidRDefault="004B4A6E"/>
    <w:sectPr w:rsidR="004B4A6E" w:rsidRPr="000F7E9D" w:rsidSect="003466B2">
      <w:headerReference w:type="default" r:id="rId7"/>
      <w:footnotePr>
        <w:numStart w:val="2"/>
      </w:footnotePr>
      <w:pgSz w:w="11907" w:h="16840" w:code="9"/>
      <w:pgMar w:top="1134" w:right="1134" w:bottom="1134" w:left="170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1FA74" w14:textId="77777777" w:rsidR="005A1B24" w:rsidRDefault="005A1B24">
      <w:r>
        <w:separator/>
      </w:r>
    </w:p>
  </w:endnote>
  <w:endnote w:type="continuationSeparator" w:id="0">
    <w:p w14:paraId="31C1FD53" w14:textId="77777777" w:rsidR="005A1B24" w:rsidRDefault="005A1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20ECB" w14:textId="77777777" w:rsidR="005A1B24" w:rsidRDefault="005A1B24">
      <w:r>
        <w:separator/>
      </w:r>
    </w:p>
  </w:footnote>
  <w:footnote w:type="continuationSeparator" w:id="0">
    <w:p w14:paraId="086A996A" w14:textId="77777777" w:rsidR="005A1B24" w:rsidRDefault="005A1B24">
      <w:r>
        <w:continuationSeparator/>
      </w:r>
    </w:p>
  </w:footnote>
  <w:footnote w:id="1">
    <w:p w14:paraId="5E438FFE" w14:textId="6B8919B2" w:rsidR="00A81C1F" w:rsidRPr="00A81C1F" w:rsidRDefault="00A81C1F" w:rsidP="00A81C1F">
      <w:pPr>
        <w:rPr>
          <w:sz w:val="24"/>
          <w:szCs w:val="24"/>
        </w:rPr>
      </w:pPr>
      <w:r>
        <w:rPr>
          <w:rStyle w:val="a9"/>
        </w:rPr>
        <w:t>2</w:t>
      </w:r>
      <w:r>
        <w:t> Пункт 4 статьи 3 Федерального закона от 22 апреля 1996 года № 39-ФЗ «О рынке ценных бумаг».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F7D58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numStart w:val="2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4425"/>
    <w:rsid w:val="00064EC9"/>
    <w:rsid w:val="00095DE3"/>
    <w:rsid w:val="000C6EE5"/>
    <w:rsid w:val="000D70DB"/>
    <w:rsid w:val="000E6D47"/>
    <w:rsid w:val="000E7BEB"/>
    <w:rsid w:val="000F7E9D"/>
    <w:rsid w:val="00110579"/>
    <w:rsid w:val="0011738B"/>
    <w:rsid w:val="00133BF7"/>
    <w:rsid w:val="00182531"/>
    <w:rsid w:val="001B14D9"/>
    <w:rsid w:val="001C4440"/>
    <w:rsid w:val="001E4A7D"/>
    <w:rsid w:val="001E5FA8"/>
    <w:rsid w:val="001F7D64"/>
    <w:rsid w:val="00232AFE"/>
    <w:rsid w:val="00261703"/>
    <w:rsid w:val="002936B5"/>
    <w:rsid w:val="002B00B5"/>
    <w:rsid w:val="00313204"/>
    <w:rsid w:val="00320CF8"/>
    <w:rsid w:val="00324588"/>
    <w:rsid w:val="00324AF9"/>
    <w:rsid w:val="00327535"/>
    <w:rsid w:val="003466B2"/>
    <w:rsid w:val="0038618B"/>
    <w:rsid w:val="00395CDF"/>
    <w:rsid w:val="003B7C9C"/>
    <w:rsid w:val="003D7957"/>
    <w:rsid w:val="003E7C4B"/>
    <w:rsid w:val="00407D01"/>
    <w:rsid w:val="00415AAD"/>
    <w:rsid w:val="004445E9"/>
    <w:rsid w:val="004462A1"/>
    <w:rsid w:val="0046795F"/>
    <w:rsid w:val="0048458E"/>
    <w:rsid w:val="004874FF"/>
    <w:rsid w:val="00492BEC"/>
    <w:rsid w:val="004B4A6E"/>
    <w:rsid w:val="004B6724"/>
    <w:rsid w:val="004C0545"/>
    <w:rsid w:val="004C27BD"/>
    <w:rsid w:val="004D1772"/>
    <w:rsid w:val="004E5446"/>
    <w:rsid w:val="005123BA"/>
    <w:rsid w:val="00570B07"/>
    <w:rsid w:val="005A1B24"/>
    <w:rsid w:val="005B3F6D"/>
    <w:rsid w:val="005C78F8"/>
    <w:rsid w:val="00622879"/>
    <w:rsid w:val="0064250D"/>
    <w:rsid w:val="00654648"/>
    <w:rsid w:val="006701DA"/>
    <w:rsid w:val="006A0794"/>
    <w:rsid w:val="006A55D9"/>
    <w:rsid w:val="006B3432"/>
    <w:rsid w:val="006D0635"/>
    <w:rsid w:val="006E08EA"/>
    <w:rsid w:val="00724EA1"/>
    <w:rsid w:val="00726E69"/>
    <w:rsid w:val="007272F0"/>
    <w:rsid w:val="007772D9"/>
    <w:rsid w:val="007C09D2"/>
    <w:rsid w:val="007C0F62"/>
    <w:rsid w:val="007C33E4"/>
    <w:rsid w:val="007E1551"/>
    <w:rsid w:val="008378E3"/>
    <w:rsid w:val="00862F37"/>
    <w:rsid w:val="00877138"/>
    <w:rsid w:val="008808F5"/>
    <w:rsid w:val="00884EEE"/>
    <w:rsid w:val="00885B23"/>
    <w:rsid w:val="00893699"/>
    <w:rsid w:val="008A42E6"/>
    <w:rsid w:val="008D7628"/>
    <w:rsid w:val="008E2E1B"/>
    <w:rsid w:val="008E344F"/>
    <w:rsid w:val="008E6859"/>
    <w:rsid w:val="00901F1A"/>
    <w:rsid w:val="00913093"/>
    <w:rsid w:val="00956890"/>
    <w:rsid w:val="00992B40"/>
    <w:rsid w:val="009B01A7"/>
    <w:rsid w:val="009C3FFE"/>
    <w:rsid w:val="009C4858"/>
    <w:rsid w:val="009C48AD"/>
    <w:rsid w:val="009C6605"/>
    <w:rsid w:val="009C674D"/>
    <w:rsid w:val="009F59F7"/>
    <w:rsid w:val="00A02E37"/>
    <w:rsid w:val="00A15E4A"/>
    <w:rsid w:val="00A2172E"/>
    <w:rsid w:val="00A44A64"/>
    <w:rsid w:val="00A81C1F"/>
    <w:rsid w:val="00A963E2"/>
    <w:rsid w:val="00AB0F67"/>
    <w:rsid w:val="00AB141D"/>
    <w:rsid w:val="00AD1148"/>
    <w:rsid w:val="00AD17C0"/>
    <w:rsid w:val="00AE4874"/>
    <w:rsid w:val="00AF3972"/>
    <w:rsid w:val="00B053DA"/>
    <w:rsid w:val="00B15DC0"/>
    <w:rsid w:val="00B233F4"/>
    <w:rsid w:val="00B66943"/>
    <w:rsid w:val="00B94288"/>
    <w:rsid w:val="00BA14B7"/>
    <w:rsid w:val="00BE008B"/>
    <w:rsid w:val="00C02201"/>
    <w:rsid w:val="00C0393A"/>
    <w:rsid w:val="00C17DF6"/>
    <w:rsid w:val="00C42656"/>
    <w:rsid w:val="00CC4E37"/>
    <w:rsid w:val="00CE06A1"/>
    <w:rsid w:val="00CF422F"/>
    <w:rsid w:val="00D021CB"/>
    <w:rsid w:val="00D22352"/>
    <w:rsid w:val="00D34E46"/>
    <w:rsid w:val="00D41342"/>
    <w:rsid w:val="00D45D2F"/>
    <w:rsid w:val="00D46670"/>
    <w:rsid w:val="00D81CF1"/>
    <w:rsid w:val="00D925B7"/>
    <w:rsid w:val="00D9515D"/>
    <w:rsid w:val="00DA3F79"/>
    <w:rsid w:val="00DE3FC8"/>
    <w:rsid w:val="00E1651A"/>
    <w:rsid w:val="00E34577"/>
    <w:rsid w:val="00E479D2"/>
    <w:rsid w:val="00E54E5B"/>
    <w:rsid w:val="00E5711C"/>
    <w:rsid w:val="00E86775"/>
    <w:rsid w:val="00E90130"/>
    <w:rsid w:val="00E97154"/>
    <w:rsid w:val="00ED74B1"/>
    <w:rsid w:val="00EE404D"/>
    <w:rsid w:val="00F4584F"/>
    <w:rsid w:val="00F47663"/>
    <w:rsid w:val="00F81454"/>
    <w:rsid w:val="00FA0738"/>
    <w:rsid w:val="00FB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80D9B9"/>
  <w14:defaultImageDpi w14:val="0"/>
  <w15:docId w15:val="{58C3965F-58BE-4382-BA96-3C474C7A6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E479D2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rsid w:val="00884EEE"/>
  </w:style>
  <w:style w:type="character" w:customStyle="1" w:styleId="ac">
    <w:name w:val="Текст концевой сноски Знак"/>
    <w:basedOn w:val="a0"/>
    <w:link w:val="ab"/>
    <w:uiPriority w:val="99"/>
    <w:semiHidden/>
    <w:rPr>
      <w:sz w:val="20"/>
      <w:szCs w:val="20"/>
    </w:rPr>
  </w:style>
  <w:style w:type="character" w:styleId="ad">
    <w:name w:val="endnote reference"/>
    <w:basedOn w:val="a0"/>
    <w:uiPriority w:val="99"/>
    <w:semiHidden/>
    <w:rsid w:val="00884EEE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3E7C4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9A3A8-037B-4592-84D9-FB5A47C4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31</cp:revision>
  <cp:lastPrinted>2024-11-14T13:19:00Z</cp:lastPrinted>
  <dcterms:created xsi:type="dcterms:W3CDTF">2024-11-14T10:48:00Z</dcterms:created>
  <dcterms:modified xsi:type="dcterms:W3CDTF">2024-11-15T11:41:00Z</dcterms:modified>
</cp:coreProperties>
</file>