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5F0F" w14:textId="43DC59CC" w:rsidR="00D45D2F" w:rsidRPr="002936B5" w:rsidRDefault="00D45D2F" w:rsidP="007D3870">
      <w:pPr>
        <w:spacing w:after="240"/>
        <w:ind w:left="4706"/>
      </w:pPr>
      <w:r w:rsidRPr="002936B5">
        <w:t xml:space="preserve">Приложение </w:t>
      </w:r>
      <w:r w:rsidR="00E86775">
        <w:t>2</w:t>
      </w:r>
      <w:r w:rsidRPr="002936B5">
        <w:br/>
        <w:t>к Указанию Банка России</w:t>
      </w:r>
      <w:r w:rsidRPr="002936B5">
        <w:br/>
        <w:t xml:space="preserve">от </w:t>
      </w:r>
      <w:r>
        <w:t>1 октября</w:t>
      </w:r>
      <w:r w:rsidRPr="002936B5">
        <w:t xml:space="preserve"> 202</w:t>
      </w:r>
      <w:r>
        <w:t>4</w:t>
      </w:r>
      <w:r w:rsidRPr="002936B5">
        <w:t xml:space="preserve"> года № 6</w:t>
      </w:r>
      <w:r>
        <w:t>886</w:t>
      </w:r>
      <w:r w:rsidRPr="002936B5">
        <w:t>-У</w:t>
      </w:r>
      <w:r w:rsidRPr="002936B5">
        <w:br/>
        <w:t>«О минима</w:t>
      </w:r>
      <w:r>
        <w:t>льных (стандартных) требованиях</w:t>
      </w:r>
      <w:r>
        <w:br/>
      </w:r>
      <w:r w:rsidRPr="002936B5">
        <w:t xml:space="preserve">к объему и содержанию информации, предоставляемой кредитной организацией, действующей от своего имени при совершении сделки с физическим лицом по возмездному отчуждению ценных бумаг, при заключении договоров, являющихся производными финансовыми инструментами, либо действующей от имени и (или) по поручению некредитной финансовой организации при заключении </w:t>
      </w:r>
      <w:r>
        <w:br/>
      </w:r>
      <w:r w:rsidRPr="002936B5">
        <w:t xml:space="preserve">с физическим лицом договоров об оказании финансовых услуг, в том числе об их условиях </w:t>
      </w:r>
      <w:r>
        <w:br/>
      </w:r>
      <w:r w:rsidRPr="002936B5">
        <w:t xml:space="preserve">и рисках, связанных с их исполнением, а также </w:t>
      </w:r>
      <w:r>
        <w:br/>
      </w:r>
      <w:r w:rsidRPr="002936B5">
        <w:t>о форме, способах и порядке предоставления указанной информации»</w:t>
      </w:r>
    </w:p>
    <w:p w14:paraId="5D2DCC92" w14:textId="76EB113F" w:rsidR="00AD1148" w:rsidRDefault="00320CF8" w:rsidP="00D46670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1F974709" w14:textId="57B2E9FA" w:rsidR="00E86775" w:rsidRPr="00E86775" w:rsidRDefault="00E34577" w:rsidP="00E86775">
      <w:pPr>
        <w:spacing w:after="240"/>
        <w:jc w:val="center"/>
        <w:rPr>
          <w:sz w:val="25"/>
          <w:szCs w:val="25"/>
        </w:rPr>
      </w:pPr>
      <w:r w:rsidRPr="00E86775">
        <w:rPr>
          <w:sz w:val="25"/>
          <w:szCs w:val="25"/>
        </w:rPr>
        <w:t xml:space="preserve">Информация, </w:t>
      </w:r>
      <w:r w:rsidR="00D46670" w:rsidRPr="00E86775">
        <w:rPr>
          <w:sz w:val="25"/>
          <w:szCs w:val="25"/>
        </w:rPr>
        <w:br/>
      </w:r>
      <w:r w:rsidR="00E86775" w:rsidRPr="00E86775">
        <w:rPr>
          <w:sz w:val="25"/>
          <w:szCs w:val="25"/>
        </w:rPr>
        <w:t xml:space="preserve">предоставляемая кредитной организацией, действующей от имени </w:t>
      </w:r>
      <w:r w:rsidR="00E86775" w:rsidRPr="00E86775">
        <w:rPr>
          <w:sz w:val="25"/>
          <w:szCs w:val="25"/>
        </w:rPr>
        <w:br/>
        <w:t xml:space="preserve">страховой организации, иностранной страховой организации </w:t>
      </w:r>
      <w:r w:rsidR="00E86775" w:rsidRPr="00E86775">
        <w:rPr>
          <w:sz w:val="25"/>
          <w:szCs w:val="25"/>
        </w:rPr>
        <w:br/>
        <w:t xml:space="preserve">при заключении с физическим лицом договора добровольного </w:t>
      </w:r>
      <w:r w:rsidR="00E86775" w:rsidRPr="00E86775">
        <w:rPr>
          <w:sz w:val="25"/>
          <w:szCs w:val="25"/>
        </w:rPr>
        <w:br/>
        <w:t xml:space="preserve">страхования жизни с условием периодических страховых выплат </w:t>
      </w:r>
      <w:r w:rsidR="00E86775" w:rsidRPr="00E86775">
        <w:rPr>
          <w:sz w:val="25"/>
          <w:szCs w:val="25"/>
        </w:rPr>
        <w:br/>
        <w:t xml:space="preserve">(ренты, аннуитетов) и (или) с участием страхователя </w:t>
      </w:r>
      <w:r w:rsidR="00E86775" w:rsidRPr="00E86775">
        <w:rPr>
          <w:sz w:val="25"/>
          <w:szCs w:val="25"/>
        </w:rPr>
        <w:br/>
        <w:t>в инвестиционном доходе страховщика, предоставляемая кредитной организацией, действующей от имени страховой организации, при заключении с физическим лицом договора долевого страхования жизни</w:t>
      </w:r>
    </w:p>
    <w:tbl>
      <w:tblPr>
        <w:tblStyle w:val="aa"/>
        <w:tblW w:w="9127" w:type="dxa"/>
        <w:jc w:val="center"/>
        <w:tblBorders>
          <w:bottom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2778"/>
        <w:gridCol w:w="3061"/>
        <w:gridCol w:w="2494"/>
      </w:tblGrid>
      <w:tr w:rsidR="006701DA" w14:paraId="6752EDF4" w14:textId="77777777" w:rsidTr="008E6859">
        <w:trPr>
          <w:jc w:val="center"/>
        </w:trPr>
        <w:tc>
          <w:tcPr>
            <w:tcW w:w="794" w:type="dxa"/>
          </w:tcPr>
          <w:p w14:paraId="4A892C74" w14:textId="1C214FA8" w:rsidR="00C02201" w:rsidRPr="00D46670" w:rsidRDefault="00C02201" w:rsidP="006701DA">
            <w:pPr>
              <w:spacing w:before="120" w:after="120"/>
              <w:jc w:val="center"/>
            </w:pPr>
            <w:r w:rsidRPr="00D46670">
              <w:t xml:space="preserve">№ </w:t>
            </w:r>
            <w:r w:rsidR="00D34E46">
              <w:br/>
            </w:r>
            <w:r w:rsidRPr="00D46670">
              <w:t>п/п</w:t>
            </w:r>
          </w:p>
        </w:tc>
        <w:tc>
          <w:tcPr>
            <w:tcW w:w="2778" w:type="dxa"/>
          </w:tcPr>
          <w:p w14:paraId="0B7B3ECD" w14:textId="77777777" w:rsidR="00C02201" w:rsidRPr="00D46670" w:rsidRDefault="00C02201" w:rsidP="006701DA">
            <w:pPr>
              <w:spacing w:before="120" w:after="120"/>
              <w:jc w:val="center"/>
            </w:pPr>
            <w:r w:rsidRPr="00D46670">
              <w:t>Вид информации</w:t>
            </w:r>
          </w:p>
        </w:tc>
        <w:tc>
          <w:tcPr>
            <w:tcW w:w="3061" w:type="dxa"/>
          </w:tcPr>
          <w:p w14:paraId="1224FE17" w14:textId="77777777" w:rsidR="00C02201" w:rsidRPr="00D46670" w:rsidRDefault="00C02201" w:rsidP="006701DA">
            <w:pPr>
              <w:spacing w:before="120" w:after="120"/>
              <w:jc w:val="center"/>
            </w:pPr>
            <w:r w:rsidRPr="00D46670">
              <w:t>Содержание предоставляемой информации</w:t>
            </w:r>
          </w:p>
        </w:tc>
        <w:tc>
          <w:tcPr>
            <w:tcW w:w="2494" w:type="dxa"/>
          </w:tcPr>
          <w:p w14:paraId="30347400" w14:textId="57FF5527" w:rsidR="00C02201" w:rsidRPr="00D46670" w:rsidRDefault="00C02201" w:rsidP="006701DA">
            <w:pPr>
              <w:spacing w:before="120" w:after="120"/>
              <w:jc w:val="center"/>
            </w:pPr>
            <w:r w:rsidRPr="00D46670">
              <w:t xml:space="preserve">Подпись физического лица, подтверждающая его ознакомление </w:t>
            </w:r>
            <w:r w:rsidR="00E86775">
              <w:br/>
            </w:r>
            <w:r w:rsidRPr="00D46670">
              <w:t>с информацией</w:t>
            </w:r>
          </w:p>
        </w:tc>
      </w:tr>
    </w:tbl>
    <w:p w14:paraId="6EC5D1E1" w14:textId="77777777" w:rsidR="006701DA" w:rsidRPr="006701DA" w:rsidRDefault="006701DA" w:rsidP="00580C7F">
      <w:pPr>
        <w:spacing w:line="24" w:lineRule="auto"/>
        <w:rPr>
          <w:sz w:val="2"/>
          <w:szCs w:val="2"/>
        </w:rPr>
      </w:pPr>
    </w:p>
    <w:tbl>
      <w:tblPr>
        <w:tblStyle w:val="aa"/>
        <w:tblW w:w="9127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2778"/>
        <w:gridCol w:w="3061"/>
        <w:gridCol w:w="283"/>
        <w:gridCol w:w="1928"/>
        <w:gridCol w:w="283"/>
      </w:tblGrid>
      <w:tr w:rsidR="00C02201" w14:paraId="1056BAA6" w14:textId="77777777" w:rsidTr="008E6859">
        <w:trPr>
          <w:tblHeader/>
          <w:jc w:val="center"/>
        </w:trPr>
        <w:tc>
          <w:tcPr>
            <w:tcW w:w="794" w:type="dxa"/>
          </w:tcPr>
          <w:p w14:paraId="737F8E31" w14:textId="77777777" w:rsidR="00C02201" w:rsidRPr="00D46670" w:rsidRDefault="00C02201" w:rsidP="00C02201">
            <w:pPr>
              <w:jc w:val="center"/>
            </w:pPr>
            <w:r w:rsidRPr="00D46670">
              <w:t>1</w:t>
            </w:r>
          </w:p>
        </w:tc>
        <w:tc>
          <w:tcPr>
            <w:tcW w:w="2778" w:type="dxa"/>
          </w:tcPr>
          <w:p w14:paraId="7F7EE4DC" w14:textId="77777777" w:rsidR="00C02201" w:rsidRPr="00D46670" w:rsidRDefault="00C02201" w:rsidP="00C02201">
            <w:pPr>
              <w:jc w:val="center"/>
            </w:pPr>
            <w:r w:rsidRPr="00D46670">
              <w:t>2</w:t>
            </w:r>
          </w:p>
        </w:tc>
        <w:tc>
          <w:tcPr>
            <w:tcW w:w="3061" w:type="dxa"/>
          </w:tcPr>
          <w:p w14:paraId="421EBDE3" w14:textId="77777777" w:rsidR="00C02201" w:rsidRPr="00D46670" w:rsidRDefault="00C02201" w:rsidP="00C02201">
            <w:pPr>
              <w:jc w:val="center"/>
            </w:pPr>
            <w:r w:rsidRPr="00D46670">
              <w:t>3</w:t>
            </w:r>
          </w:p>
        </w:tc>
        <w:tc>
          <w:tcPr>
            <w:tcW w:w="2494" w:type="dxa"/>
            <w:gridSpan w:val="3"/>
          </w:tcPr>
          <w:p w14:paraId="306791F2" w14:textId="77777777" w:rsidR="00C02201" w:rsidRPr="00D46670" w:rsidRDefault="00C02201" w:rsidP="00C02201">
            <w:pPr>
              <w:jc w:val="center"/>
            </w:pPr>
            <w:r w:rsidRPr="00D46670">
              <w:t>4</w:t>
            </w:r>
          </w:p>
        </w:tc>
      </w:tr>
      <w:tr w:rsidR="000E73D2" w14:paraId="38F623C5" w14:textId="77777777" w:rsidTr="008E6859">
        <w:trPr>
          <w:trHeight w:val="425"/>
          <w:jc w:val="center"/>
        </w:trPr>
        <w:tc>
          <w:tcPr>
            <w:tcW w:w="794" w:type="dxa"/>
            <w:vMerge w:val="restart"/>
          </w:tcPr>
          <w:p w14:paraId="6A431B97" w14:textId="77777777" w:rsidR="000E73D2" w:rsidRPr="00D46670" w:rsidRDefault="000E73D2" w:rsidP="006701DA">
            <w:pPr>
              <w:spacing w:before="120" w:after="120"/>
              <w:jc w:val="center"/>
            </w:pPr>
            <w:r w:rsidRPr="00D46670">
              <w:t>1</w:t>
            </w:r>
          </w:p>
        </w:tc>
        <w:tc>
          <w:tcPr>
            <w:tcW w:w="2778" w:type="dxa"/>
            <w:vMerge w:val="restart"/>
          </w:tcPr>
          <w:p w14:paraId="2B864CEB" w14:textId="287BD76E" w:rsidR="000E73D2" w:rsidRPr="00D46670" w:rsidRDefault="000E73D2" w:rsidP="006701DA">
            <w:pPr>
              <w:spacing w:before="120" w:after="120"/>
              <w:ind w:left="57" w:right="57" w:firstLine="227"/>
            </w:pPr>
            <w:r>
              <w:t>Информация о договоре добровольного страхования жизни с условием периодических страховых выплат (ренты, аннуитетов) и (или) с участием страхователя в инвестиционном доходе страховщика или договоре долевого страхования жизни</w:t>
            </w:r>
          </w:p>
        </w:tc>
        <w:tc>
          <w:tcPr>
            <w:tcW w:w="3061" w:type="dxa"/>
            <w:vMerge w:val="restart"/>
          </w:tcPr>
          <w:p w14:paraId="5A419DC6" w14:textId="1F2F1BF0" w:rsidR="000E73D2" w:rsidRPr="00D46670" w:rsidRDefault="000E73D2" w:rsidP="00DA3F79">
            <w:pPr>
              <w:spacing w:before="120" w:after="120"/>
              <w:ind w:left="57" w:right="57" w:firstLine="227"/>
            </w:pPr>
            <w:r w:rsidRPr="00D46670">
              <w:t>1.1. </w:t>
            </w:r>
            <w:r>
              <w:t xml:space="preserve">Переданные по договору добровольного страхования жизни с условием периодических страховых выплат (ренты, аннуитетов) и (или) с участием страхователя в инвестиционном доходе страховщика или договору долевого страхования жизни денежные средства не подлежат страхованию в соответствии с Федеральным законом от 23 декабря 2003 года </w:t>
            </w:r>
            <w:r>
              <w:br/>
              <w:t xml:space="preserve">№ 177-ФЗ </w:t>
            </w:r>
            <w:r w:rsidRPr="00D46670">
              <w:t>«О страховании вкладов в банках Российской Федерации»</w:t>
            </w: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224E9CEF" w14:textId="77777777" w:rsidR="000E73D2" w:rsidRPr="00D46670" w:rsidRDefault="000E73D2" w:rsidP="00A02E37"/>
        </w:tc>
        <w:tc>
          <w:tcPr>
            <w:tcW w:w="1928" w:type="dxa"/>
            <w:tcBorders>
              <w:left w:val="nil"/>
              <w:bottom w:val="single" w:sz="4" w:space="0" w:color="auto"/>
              <w:right w:val="nil"/>
            </w:tcBorders>
          </w:tcPr>
          <w:p w14:paraId="3CE734CC" w14:textId="77777777" w:rsidR="000E73D2" w:rsidRPr="00D46670" w:rsidRDefault="000E73D2" w:rsidP="00956890">
            <w:pPr>
              <w:jc w:val="center"/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0CE143E3" w14:textId="77777777" w:rsidR="000E73D2" w:rsidRPr="00D46670" w:rsidRDefault="000E73D2" w:rsidP="00A02E37"/>
        </w:tc>
      </w:tr>
      <w:tr w:rsidR="000E73D2" w14:paraId="09418ECD" w14:textId="77777777" w:rsidTr="008E6859">
        <w:trPr>
          <w:trHeight w:hRule="exact" w:val="425"/>
          <w:jc w:val="center"/>
        </w:trPr>
        <w:tc>
          <w:tcPr>
            <w:tcW w:w="794" w:type="dxa"/>
            <w:vMerge/>
          </w:tcPr>
          <w:p w14:paraId="55C72145" w14:textId="77777777" w:rsidR="000E73D2" w:rsidRPr="00D46670" w:rsidRDefault="000E73D2" w:rsidP="00956890">
            <w:pPr>
              <w:jc w:val="center"/>
            </w:pPr>
          </w:p>
        </w:tc>
        <w:tc>
          <w:tcPr>
            <w:tcW w:w="2778" w:type="dxa"/>
            <w:vMerge/>
          </w:tcPr>
          <w:p w14:paraId="535432B3" w14:textId="77777777" w:rsidR="000E73D2" w:rsidRPr="00D46670" w:rsidRDefault="000E73D2" w:rsidP="006701DA">
            <w:pPr>
              <w:ind w:left="57" w:right="57"/>
            </w:pPr>
          </w:p>
        </w:tc>
        <w:tc>
          <w:tcPr>
            <w:tcW w:w="3061" w:type="dxa"/>
            <w:vMerge/>
          </w:tcPr>
          <w:p w14:paraId="6029E6AD" w14:textId="77777777" w:rsidR="000E73D2" w:rsidRPr="00D46670" w:rsidRDefault="000E73D2" w:rsidP="00DA3F79">
            <w:pPr>
              <w:spacing w:before="120" w:after="120"/>
              <w:ind w:left="57" w:right="57"/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42835908" w14:textId="77777777" w:rsidR="000E73D2" w:rsidRPr="00D46670" w:rsidRDefault="000E73D2" w:rsidP="00A02E37"/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6E1C" w14:textId="77777777" w:rsidR="000E73D2" w:rsidRPr="00D46670" w:rsidRDefault="000E73D2" w:rsidP="009568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1FBBF8B9" w14:textId="77777777" w:rsidR="000E73D2" w:rsidRPr="00D46670" w:rsidRDefault="000E73D2" w:rsidP="00A02E37"/>
        </w:tc>
      </w:tr>
      <w:tr w:rsidR="000E73D2" w14:paraId="49BE0D98" w14:textId="77777777" w:rsidTr="000E73D2">
        <w:trPr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33100DCA" w14:textId="77777777" w:rsidR="000E73D2" w:rsidRPr="00D46670" w:rsidRDefault="000E73D2" w:rsidP="00956890">
            <w:pPr>
              <w:jc w:val="center"/>
            </w:pPr>
          </w:p>
        </w:tc>
        <w:tc>
          <w:tcPr>
            <w:tcW w:w="2778" w:type="dxa"/>
            <w:vMerge/>
          </w:tcPr>
          <w:p w14:paraId="09EDC485" w14:textId="77777777" w:rsidR="000E73D2" w:rsidRPr="00D46670" w:rsidRDefault="000E73D2" w:rsidP="006701DA">
            <w:pPr>
              <w:ind w:left="57" w:right="57"/>
            </w:pPr>
          </w:p>
        </w:tc>
        <w:tc>
          <w:tcPr>
            <w:tcW w:w="3061" w:type="dxa"/>
            <w:vMerge/>
          </w:tcPr>
          <w:p w14:paraId="0198D665" w14:textId="77777777" w:rsidR="000E73D2" w:rsidRPr="00D46670" w:rsidRDefault="000E73D2" w:rsidP="00DA3F79">
            <w:pPr>
              <w:spacing w:before="120" w:after="120"/>
              <w:ind w:left="57" w:right="57"/>
            </w:pPr>
          </w:p>
        </w:tc>
        <w:tc>
          <w:tcPr>
            <w:tcW w:w="283" w:type="dxa"/>
            <w:tcBorders>
              <w:top w:val="nil"/>
              <w:right w:val="nil"/>
            </w:tcBorders>
          </w:tcPr>
          <w:p w14:paraId="5F659D62" w14:textId="77777777" w:rsidR="000E73D2" w:rsidRPr="00D46670" w:rsidRDefault="000E73D2" w:rsidP="00A02E37"/>
        </w:tc>
        <w:tc>
          <w:tcPr>
            <w:tcW w:w="1928" w:type="dxa"/>
            <w:tcBorders>
              <w:top w:val="single" w:sz="4" w:space="0" w:color="auto"/>
              <w:left w:val="nil"/>
              <w:right w:val="nil"/>
            </w:tcBorders>
          </w:tcPr>
          <w:p w14:paraId="58539763" w14:textId="77777777" w:rsidR="000E73D2" w:rsidRPr="00D46670" w:rsidRDefault="000E73D2" w:rsidP="00B233F4">
            <w:pPr>
              <w:spacing w:before="120" w:after="120"/>
              <w:jc w:val="center"/>
            </w:pPr>
            <w:r w:rsidRPr="00D46670">
              <w:t>С информацией ознакомлен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19E38DA7" w14:textId="77777777" w:rsidR="000E73D2" w:rsidRPr="00D46670" w:rsidRDefault="000E73D2" w:rsidP="00A02E37"/>
        </w:tc>
      </w:tr>
      <w:tr w:rsidR="000E73D2" w14:paraId="04AAFC4D" w14:textId="77777777" w:rsidTr="008E6859">
        <w:trPr>
          <w:trHeight w:val="425"/>
          <w:jc w:val="center"/>
        </w:trPr>
        <w:tc>
          <w:tcPr>
            <w:tcW w:w="794" w:type="dxa"/>
            <w:vMerge w:val="restart"/>
          </w:tcPr>
          <w:p w14:paraId="1B1C5677" w14:textId="77777777" w:rsidR="000E73D2" w:rsidRPr="00D46670" w:rsidRDefault="000E73D2" w:rsidP="000E73D2">
            <w:pPr>
              <w:keepNext/>
              <w:jc w:val="center"/>
            </w:pPr>
          </w:p>
        </w:tc>
        <w:tc>
          <w:tcPr>
            <w:tcW w:w="2778" w:type="dxa"/>
            <w:vMerge w:val="restart"/>
          </w:tcPr>
          <w:p w14:paraId="292DC955" w14:textId="77777777" w:rsidR="000E73D2" w:rsidRPr="00D46670" w:rsidRDefault="000E73D2" w:rsidP="000E73D2">
            <w:pPr>
              <w:keepNext/>
              <w:ind w:left="57" w:right="57"/>
            </w:pPr>
          </w:p>
        </w:tc>
        <w:tc>
          <w:tcPr>
            <w:tcW w:w="3061" w:type="dxa"/>
            <w:vMerge w:val="restart"/>
          </w:tcPr>
          <w:p w14:paraId="5C917AE6" w14:textId="77777777" w:rsidR="000E73D2" w:rsidRPr="00D46670" w:rsidRDefault="000E73D2" w:rsidP="000E73D2">
            <w:pPr>
              <w:keepNext/>
              <w:spacing w:before="120" w:after="120"/>
              <w:ind w:left="57" w:right="57" w:firstLine="227"/>
            </w:pPr>
            <w:r w:rsidRPr="00D46670">
              <w:t>1.2. Отсутствует гарантия получения доходности</w:t>
            </w: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5424AC29" w14:textId="77777777" w:rsidR="000E73D2" w:rsidRPr="00D46670" w:rsidRDefault="000E73D2" w:rsidP="000E73D2">
            <w:pPr>
              <w:keepNext/>
            </w:pPr>
          </w:p>
        </w:tc>
        <w:tc>
          <w:tcPr>
            <w:tcW w:w="1928" w:type="dxa"/>
            <w:tcBorders>
              <w:left w:val="nil"/>
              <w:bottom w:val="single" w:sz="4" w:space="0" w:color="auto"/>
              <w:right w:val="nil"/>
            </w:tcBorders>
          </w:tcPr>
          <w:p w14:paraId="1DED7C3C" w14:textId="77777777" w:rsidR="000E73D2" w:rsidRPr="00D46670" w:rsidRDefault="000E73D2" w:rsidP="000E73D2">
            <w:pPr>
              <w:keepNext/>
              <w:jc w:val="center"/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3AC3CD62" w14:textId="77777777" w:rsidR="000E73D2" w:rsidRPr="00D46670" w:rsidRDefault="000E73D2" w:rsidP="000E73D2">
            <w:pPr>
              <w:keepNext/>
            </w:pPr>
          </w:p>
        </w:tc>
      </w:tr>
      <w:tr w:rsidR="000E73D2" w14:paraId="4ECB7C76" w14:textId="77777777" w:rsidTr="00EF43D8">
        <w:trPr>
          <w:trHeight w:hRule="exact" w:val="425"/>
          <w:jc w:val="center"/>
        </w:trPr>
        <w:tc>
          <w:tcPr>
            <w:tcW w:w="794" w:type="dxa"/>
            <w:vMerge/>
          </w:tcPr>
          <w:p w14:paraId="2E9DC554" w14:textId="77777777" w:rsidR="000E73D2" w:rsidRPr="00D46670" w:rsidRDefault="000E73D2" w:rsidP="000E73D2">
            <w:pPr>
              <w:keepNext/>
              <w:jc w:val="center"/>
            </w:pPr>
          </w:p>
        </w:tc>
        <w:tc>
          <w:tcPr>
            <w:tcW w:w="2778" w:type="dxa"/>
            <w:vMerge/>
          </w:tcPr>
          <w:p w14:paraId="75A7F98F" w14:textId="77777777" w:rsidR="000E73D2" w:rsidRPr="00D46670" w:rsidRDefault="000E73D2" w:rsidP="000E73D2">
            <w:pPr>
              <w:keepNext/>
              <w:ind w:left="57" w:right="57"/>
            </w:pPr>
          </w:p>
        </w:tc>
        <w:tc>
          <w:tcPr>
            <w:tcW w:w="3061" w:type="dxa"/>
            <w:vMerge/>
          </w:tcPr>
          <w:p w14:paraId="481DDF2E" w14:textId="77777777" w:rsidR="000E73D2" w:rsidRPr="00D46670" w:rsidRDefault="000E73D2" w:rsidP="000E73D2">
            <w:pPr>
              <w:keepNext/>
              <w:spacing w:before="120" w:after="120"/>
              <w:ind w:left="57" w:right="57"/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3D07C7D8" w14:textId="77777777" w:rsidR="000E73D2" w:rsidRPr="00D46670" w:rsidRDefault="000E73D2" w:rsidP="000E73D2">
            <w:pPr>
              <w:keepNext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8507" w14:textId="77777777" w:rsidR="000E73D2" w:rsidRPr="00D46670" w:rsidRDefault="000E73D2" w:rsidP="000E73D2">
            <w:pPr>
              <w:keepNext/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531E5C65" w14:textId="77777777" w:rsidR="000E73D2" w:rsidRPr="00D46670" w:rsidRDefault="000E73D2" w:rsidP="000E73D2">
            <w:pPr>
              <w:keepNext/>
            </w:pPr>
          </w:p>
        </w:tc>
      </w:tr>
      <w:tr w:rsidR="000E73D2" w14:paraId="26CC3D7A" w14:textId="77777777" w:rsidTr="00EF43D8">
        <w:trPr>
          <w:jc w:val="center"/>
        </w:trPr>
        <w:tc>
          <w:tcPr>
            <w:tcW w:w="794" w:type="dxa"/>
            <w:vMerge/>
          </w:tcPr>
          <w:p w14:paraId="6F7298AD" w14:textId="77777777" w:rsidR="000E73D2" w:rsidRPr="00D46670" w:rsidRDefault="000E73D2" w:rsidP="000E73D2">
            <w:pPr>
              <w:keepNext/>
              <w:jc w:val="center"/>
            </w:pPr>
          </w:p>
        </w:tc>
        <w:tc>
          <w:tcPr>
            <w:tcW w:w="2778" w:type="dxa"/>
            <w:vMerge/>
          </w:tcPr>
          <w:p w14:paraId="1A580E93" w14:textId="77777777" w:rsidR="000E73D2" w:rsidRPr="00D46670" w:rsidRDefault="000E73D2" w:rsidP="000E73D2">
            <w:pPr>
              <w:keepNext/>
              <w:ind w:left="57" w:right="57"/>
            </w:pPr>
          </w:p>
        </w:tc>
        <w:tc>
          <w:tcPr>
            <w:tcW w:w="3061" w:type="dxa"/>
            <w:vMerge/>
          </w:tcPr>
          <w:p w14:paraId="3F33DC44" w14:textId="77777777" w:rsidR="000E73D2" w:rsidRPr="00D46670" w:rsidRDefault="000E73D2" w:rsidP="000E73D2">
            <w:pPr>
              <w:keepNext/>
              <w:spacing w:before="120" w:after="120"/>
              <w:ind w:left="57" w:right="57"/>
            </w:pPr>
          </w:p>
        </w:tc>
        <w:tc>
          <w:tcPr>
            <w:tcW w:w="283" w:type="dxa"/>
            <w:tcBorders>
              <w:top w:val="nil"/>
              <w:right w:val="nil"/>
            </w:tcBorders>
          </w:tcPr>
          <w:p w14:paraId="439605C1" w14:textId="77777777" w:rsidR="000E73D2" w:rsidRPr="00D46670" w:rsidRDefault="000E73D2" w:rsidP="000E73D2">
            <w:pPr>
              <w:keepNext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right w:val="nil"/>
            </w:tcBorders>
          </w:tcPr>
          <w:p w14:paraId="6D6789EA" w14:textId="77777777" w:rsidR="000E73D2" w:rsidRPr="00D46670" w:rsidRDefault="000E73D2" w:rsidP="000E73D2">
            <w:pPr>
              <w:keepNext/>
              <w:spacing w:before="120" w:after="120"/>
              <w:jc w:val="center"/>
            </w:pPr>
            <w:r w:rsidRPr="00D46670">
              <w:t>С информацией ознакомлен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3822B6D1" w14:textId="77777777" w:rsidR="000E73D2" w:rsidRPr="00D46670" w:rsidRDefault="000E73D2" w:rsidP="000E73D2">
            <w:pPr>
              <w:keepNext/>
            </w:pPr>
          </w:p>
        </w:tc>
      </w:tr>
      <w:tr w:rsidR="000E73D2" w14:paraId="436AEF18" w14:textId="77777777" w:rsidTr="00EF43D8">
        <w:trPr>
          <w:trHeight w:val="425"/>
          <w:jc w:val="center"/>
        </w:trPr>
        <w:tc>
          <w:tcPr>
            <w:tcW w:w="794" w:type="dxa"/>
            <w:vMerge/>
          </w:tcPr>
          <w:p w14:paraId="045F4B17" w14:textId="77777777" w:rsidR="000E73D2" w:rsidRPr="00D46670" w:rsidRDefault="000E73D2" w:rsidP="00064EC9">
            <w:pPr>
              <w:jc w:val="center"/>
            </w:pPr>
          </w:p>
        </w:tc>
        <w:tc>
          <w:tcPr>
            <w:tcW w:w="2778" w:type="dxa"/>
            <w:vMerge/>
          </w:tcPr>
          <w:p w14:paraId="56D055B2" w14:textId="77777777" w:rsidR="000E73D2" w:rsidRPr="00D46670" w:rsidRDefault="000E73D2" w:rsidP="006701DA">
            <w:pPr>
              <w:ind w:left="57" w:right="57"/>
            </w:pPr>
          </w:p>
        </w:tc>
        <w:tc>
          <w:tcPr>
            <w:tcW w:w="3061" w:type="dxa"/>
            <w:vMerge w:val="restart"/>
          </w:tcPr>
          <w:p w14:paraId="11746B2E" w14:textId="214F6B24" w:rsidR="000E73D2" w:rsidRPr="00D46670" w:rsidRDefault="000E73D2" w:rsidP="00DA3F79">
            <w:pPr>
              <w:spacing w:before="120" w:after="120"/>
              <w:ind w:left="57" w:right="57" w:firstLine="227"/>
            </w:pPr>
            <w:r w:rsidRPr="00D46670">
              <w:t>1.3. </w:t>
            </w:r>
            <w:r>
              <w:t>Договор добровольного страхования жизни с условием периодических страховых выплат (ренты, аннуитетов) и (или) с участием страхователя в инвестиционном доходе страховщика или договор долевого страхования жизни не является договором банковского вклада (банковского счета)</w:t>
            </w: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3A406B33" w14:textId="77777777" w:rsidR="000E73D2" w:rsidRPr="00D46670" w:rsidRDefault="000E73D2" w:rsidP="00064EC9"/>
        </w:tc>
        <w:tc>
          <w:tcPr>
            <w:tcW w:w="1928" w:type="dxa"/>
            <w:tcBorders>
              <w:left w:val="nil"/>
              <w:bottom w:val="single" w:sz="4" w:space="0" w:color="auto"/>
              <w:right w:val="nil"/>
            </w:tcBorders>
          </w:tcPr>
          <w:p w14:paraId="545D52CD" w14:textId="77777777" w:rsidR="000E73D2" w:rsidRPr="00D46670" w:rsidRDefault="000E73D2" w:rsidP="00064EC9">
            <w:pPr>
              <w:jc w:val="center"/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1B3E630F" w14:textId="77777777" w:rsidR="000E73D2" w:rsidRPr="00D46670" w:rsidRDefault="000E73D2" w:rsidP="00064EC9"/>
        </w:tc>
      </w:tr>
      <w:tr w:rsidR="000E73D2" w14:paraId="706D9F0F" w14:textId="77777777" w:rsidTr="00EF43D8">
        <w:trPr>
          <w:trHeight w:hRule="exact" w:val="425"/>
          <w:jc w:val="center"/>
        </w:trPr>
        <w:tc>
          <w:tcPr>
            <w:tcW w:w="794" w:type="dxa"/>
            <w:vMerge/>
          </w:tcPr>
          <w:p w14:paraId="786351D8" w14:textId="77777777" w:rsidR="000E73D2" w:rsidRPr="00D46670" w:rsidRDefault="000E73D2" w:rsidP="00064EC9">
            <w:pPr>
              <w:jc w:val="center"/>
            </w:pPr>
          </w:p>
        </w:tc>
        <w:tc>
          <w:tcPr>
            <w:tcW w:w="2778" w:type="dxa"/>
            <w:vMerge/>
          </w:tcPr>
          <w:p w14:paraId="1547BB6A" w14:textId="77777777" w:rsidR="000E73D2" w:rsidRPr="00D46670" w:rsidRDefault="000E73D2" w:rsidP="00064EC9">
            <w:pPr>
              <w:ind w:left="57" w:right="57"/>
              <w:jc w:val="both"/>
            </w:pPr>
          </w:p>
        </w:tc>
        <w:tc>
          <w:tcPr>
            <w:tcW w:w="3061" w:type="dxa"/>
            <w:vMerge/>
          </w:tcPr>
          <w:p w14:paraId="7BED935E" w14:textId="77777777" w:rsidR="000E73D2" w:rsidRPr="00D46670" w:rsidRDefault="000E73D2" w:rsidP="00DA3F79">
            <w:pPr>
              <w:spacing w:before="120" w:after="120"/>
              <w:ind w:left="57" w:right="57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643B7063" w14:textId="77777777" w:rsidR="000E73D2" w:rsidRPr="00D46670" w:rsidRDefault="000E73D2" w:rsidP="00064EC9"/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6DE4" w14:textId="77777777" w:rsidR="000E73D2" w:rsidRPr="00D46670" w:rsidRDefault="000E73D2" w:rsidP="00064EC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36AB9B32" w14:textId="77777777" w:rsidR="000E73D2" w:rsidRPr="00D46670" w:rsidRDefault="000E73D2" w:rsidP="00064EC9"/>
        </w:tc>
      </w:tr>
      <w:tr w:rsidR="000E73D2" w14:paraId="7E7A95A3" w14:textId="77777777" w:rsidTr="00EF43D8">
        <w:trPr>
          <w:jc w:val="center"/>
        </w:trPr>
        <w:tc>
          <w:tcPr>
            <w:tcW w:w="794" w:type="dxa"/>
            <w:vMerge/>
          </w:tcPr>
          <w:p w14:paraId="387BF0BF" w14:textId="77777777" w:rsidR="000E73D2" w:rsidRPr="00D46670" w:rsidRDefault="000E73D2" w:rsidP="00064EC9">
            <w:pPr>
              <w:jc w:val="center"/>
            </w:pPr>
          </w:p>
        </w:tc>
        <w:tc>
          <w:tcPr>
            <w:tcW w:w="2778" w:type="dxa"/>
            <w:vMerge/>
          </w:tcPr>
          <w:p w14:paraId="05CF9141" w14:textId="77777777" w:rsidR="000E73D2" w:rsidRPr="00D46670" w:rsidRDefault="000E73D2" w:rsidP="00064EC9">
            <w:pPr>
              <w:ind w:left="57" w:right="57"/>
              <w:jc w:val="both"/>
            </w:pPr>
          </w:p>
        </w:tc>
        <w:tc>
          <w:tcPr>
            <w:tcW w:w="3061" w:type="dxa"/>
            <w:vMerge/>
          </w:tcPr>
          <w:p w14:paraId="07041121" w14:textId="77777777" w:rsidR="000E73D2" w:rsidRPr="00D46670" w:rsidRDefault="000E73D2" w:rsidP="00DA3F79">
            <w:pPr>
              <w:spacing w:before="120" w:after="120"/>
              <w:ind w:left="57" w:right="57"/>
              <w:jc w:val="both"/>
            </w:pPr>
          </w:p>
        </w:tc>
        <w:tc>
          <w:tcPr>
            <w:tcW w:w="283" w:type="dxa"/>
            <w:tcBorders>
              <w:top w:val="nil"/>
              <w:right w:val="nil"/>
            </w:tcBorders>
          </w:tcPr>
          <w:p w14:paraId="4211E067" w14:textId="77777777" w:rsidR="000E73D2" w:rsidRPr="00D46670" w:rsidRDefault="000E73D2" w:rsidP="00064EC9"/>
        </w:tc>
        <w:tc>
          <w:tcPr>
            <w:tcW w:w="1928" w:type="dxa"/>
            <w:tcBorders>
              <w:top w:val="single" w:sz="4" w:space="0" w:color="auto"/>
              <w:left w:val="nil"/>
              <w:right w:val="nil"/>
            </w:tcBorders>
          </w:tcPr>
          <w:p w14:paraId="42DA98D9" w14:textId="77777777" w:rsidR="000E73D2" w:rsidRPr="00D46670" w:rsidRDefault="000E73D2" w:rsidP="00B233F4">
            <w:pPr>
              <w:spacing w:before="120" w:after="120"/>
              <w:jc w:val="center"/>
            </w:pPr>
            <w:r w:rsidRPr="00D46670">
              <w:t>С информацией ознакомлен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572696F8" w14:textId="77777777" w:rsidR="000E73D2" w:rsidRPr="00D46670" w:rsidRDefault="000E73D2" w:rsidP="00064EC9"/>
        </w:tc>
      </w:tr>
    </w:tbl>
    <w:p w14:paraId="19D14AE4" w14:textId="77777777" w:rsidR="00AD1148" w:rsidRPr="00415DAB" w:rsidRDefault="00AD1148"/>
    <w:sectPr w:rsidR="00AD1148" w:rsidRPr="00415DAB" w:rsidSect="003466B2">
      <w:headerReference w:type="default" r:id="rId7"/>
      <w:pgSz w:w="11907" w:h="16840" w:code="9"/>
      <w:pgMar w:top="1134" w:right="1134" w:bottom="1134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80EAD" w14:textId="77777777" w:rsidR="00474EDB" w:rsidRDefault="00474EDB">
      <w:r>
        <w:separator/>
      </w:r>
    </w:p>
  </w:endnote>
  <w:endnote w:type="continuationSeparator" w:id="0">
    <w:p w14:paraId="41A92F41" w14:textId="77777777" w:rsidR="00474EDB" w:rsidRDefault="004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C3CA" w14:textId="77777777" w:rsidR="00474EDB" w:rsidRDefault="00474EDB">
      <w:r>
        <w:separator/>
      </w:r>
    </w:p>
  </w:footnote>
  <w:footnote w:type="continuationSeparator" w:id="0">
    <w:p w14:paraId="516452BF" w14:textId="77777777" w:rsidR="00474EDB" w:rsidRDefault="0047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7D5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64EC9"/>
    <w:rsid w:val="00095DE3"/>
    <w:rsid w:val="000C6EE5"/>
    <w:rsid w:val="000D70DB"/>
    <w:rsid w:val="000E6D47"/>
    <w:rsid w:val="000E73D2"/>
    <w:rsid w:val="000E7BEB"/>
    <w:rsid w:val="00110579"/>
    <w:rsid w:val="0011738B"/>
    <w:rsid w:val="00133BF7"/>
    <w:rsid w:val="00182531"/>
    <w:rsid w:val="001C4440"/>
    <w:rsid w:val="001E4A7D"/>
    <w:rsid w:val="001E5FA8"/>
    <w:rsid w:val="001F7D64"/>
    <w:rsid w:val="00232AFE"/>
    <w:rsid w:val="002936B5"/>
    <w:rsid w:val="002B00B5"/>
    <w:rsid w:val="00320CF8"/>
    <w:rsid w:val="00327535"/>
    <w:rsid w:val="003466B2"/>
    <w:rsid w:val="0038618B"/>
    <w:rsid w:val="00395CDF"/>
    <w:rsid w:val="003B7C9C"/>
    <w:rsid w:val="003E7C4B"/>
    <w:rsid w:val="00407D01"/>
    <w:rsid w:val="00415AAD"/>
    <w:rsid w:val="00415DAB"/>
    <w:rsid w:val="00426C51"/>
    <w:rsid w:val="004445E9"/>
    <w:rsid w:val="004462A1"/>
    <w:rsid w:val="0046795F"/>
    <w:rsid w:val="00474EDB"/>
    <w:rsid w:val="0048458E"/>
    <w:rsid w:val="004874FF"/>
    <w:rsid w:val="00492BEC"/>
    <w:rsid w:val="004B6724"/>
    <w:rsid w:val="004C0545"/>
    <w:rsid w:val="004C27BD"/>
    <w:rsid w:val="004D6AFE"/>
    <w:rsid w:val="004E5446"/>
    <w:rsid w:val="005123BA"/>
    <w:rsid w:val="00570B07"/>
    <w:rsid w:val="00580C7F"/>
    <w:rsid w:val="005B3F6D"/>
    <w:rsid w:val="005C78F8"/>
    <w:rsid w:val="00622879"/>
    <w:rsid w:val="0064250D"/>
    <w:rsid w:val="00654648"/>
    <w:rsid w:val="006701DA"/>
    <w:rsid w:val="006A0794"/>
    <w:rsid w:val="006A55D9"/>
    <w:rsid w:val="006D0635"/>
    <w:rsid w:val="006E08EA"/>
    <w:rsid w:val="00724EA1"/>
    <w:rsid w:val="00726E69"/>
    <w:rsid w:val="007272F0"/>
    <w:rsid w:val="007772D9"/>
    <w:rsid w:val="007C09D2"/>
    <w:rsid w:val="007C33E4"/>
    <w:rsid w:val="007D3870"/>
    <w:rsid w:val="007E1551"/>
    <w:rsid w:val="008378E3"/>
    <w:rsid w:val="00877138"/>
    <w:rsid w:val="00884EEE"/>
    <w:rsid w:val="00885B23"/>
    <w:rsid w:val="00893699"/>
    <w:rsid w:val="008A42E6"/>
    <w:rsid w:val="008E344F"/>
    <w:rsid w:val="008E6859"/>
    <w:rsid w:val="00901F1A"/>
    <w:rsid w:val="00913093"/>
    <w:rsid w:val="00956890"/>
    <w:rsid w:val="009B01A7"/>
    <w:rsid w:val="009C3FFE"/>
    <w:rsid w:val="009C4858"/>
    <w:rsid w:val="009C48AD"/>
    <w:rsid w:val="009C6605"/>
    <w:rsid w:val="009C674D"/>
    <w:rsid w:val="009F59F7"/>
    <w:rsid w:val="00A02E37"/>
    <w:rsid w:val="00A15E4A"/>
    <w:rsid w:val="00A2172E"/>
    <w:rsid w:val="00A44A64"/>
    <w:rsid w:val="00A963E2"/>
    <w:rsid w:val="00AB0F67"/>
    <w:rsid w:val="00AB141D"/>
    <w:rsid w:val="00AD1148"/>
    <w:rsid w:val="00AD17C0"/>
    <w:rsid w:val="00AF3972"/>
    <w:rsid w:val="00B053DA"/>
    <w:rsid w:val="00B233F4"/>
    <w:rsid w:val="00B66943"/>
    <w:rsid w:val="00BA14B7"/>
    <w:rsid w:val="00BB5B2D"/>
    <w:rsid w:val="00BE008B"/>
    <w:rsid w:val="00C02201"/>
    <w:rsid w:val="00C0393A"/>
    <w:rsid w:val="00C17DF6"/>
    <w:rsid w:val="00C42656"/>
    <w:rsid w:val="00CC4E37"/>
    <w:rsid w:val="00CE06A1"/>
    <w:rsid w:val="00CF422F"/>
    <w:rsid w:val="00D021CB"/>
    <w:rsid w:val="00D22352"/>
    <w:rsid w:val="00D34E46"/>
    <w:rsid w:val="00D41342"/>
    <w:rsid w:val="00D45D2F"/>
    <w:rsid w:val="00D46670"/>
    <w:rsid w:val="00D81CF1"/>
    <w:rsid w:val="00D925B7"/>
    <w:rsid w:val="00D9515D"/>
    <w:rsid w:val="00DA3F79"/>
    <w:rsid w:val="00DE3FC8"/>
    <w:rsid w:val="00E1651A"/>
    <w:rsid w:val="00E34577"/>
    <w:rsid w:val="00E479D2"/>
    <w:rsid w:val="00E54E5B"/>
    <w:rsid w:val="00E86775"/>
    <w:rsid w:val="00E90130"/>
    <w:rsid w:val="00E97154"/>
    <w:rsid w:val="00ED74B1"/>
    <w:rsid w:val="00EE404D"/>
    <w:rsid w:val="00F4584F"/>
    <w:rsid w:val="00F47663"/>
    <w:rsid w:val="00F620C2"/>
    <w:rsid w:val="00F81454"/>
    <w:rsid w:val="00FA0738"/>
    <w:rsid w:val="00FB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0D9B9"/>
  <w14:defaultImageDpi w14:val="0"/>
  <w15:docId w15:val="{58C3965F-58BE-4382-BA96-3C474C7A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E479D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884EEE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884EEE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3E7C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A3A8-037B-4592-84D9-FB5A47C4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23</cp:revision>
  <cp:lastPrinted>2024-11-15T07:14:00Z</cp:lastPrinted>
  <dcterms:created xsi:type="dcterms:W3CDTF">2024-11-14T10:48:00Z</dcterms:created>
  <dcterms:modified xsi:type="dcterms:W3CDTF">2024-11-15T11:41:00Z</dcterms:modified>
</cp:coreProperties>
</file>