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5F0F" w14:textId="40DBEE6E" w:rsidR="00D45D2F" w:rsidRPr="002936B5" w:rsidRDefault="00D45D2F" w:rsidP="00C61615">
      <w:pPr>
        <w:spacing w:after="240"/>
        <w:ind w:left="4706"/>
      </w:pPr>
      <w:r w:rsidRPr="002936B5">
        <w:t>Приложение 1</w:t>
      </w:r>
      <w:r w:rsidRPr="002936B5">
        <w:br/>
        <w:t>к Указанию Банка России</w:t>
      </w:r>
      <w:r w:rsidRPr="002936B5">
        <w:br/>
        <w:t xml:space="preserve">от </w:t>
      </w:r>
      <w:r>
        <w:t>1 октября</w:t>
      </w:r>
      <w:r w:rsidRPr="002936B5">
        <w:t xml:space="preserve"> 202</w:t>
      </w:r>
      <w:r>
        <w:t>4</w:t>
      </w:r>
      <w:r w:rsidRPr="002936B5">
        <w:t xml:space="preserve"> года № 6</w:t>
      </w:r>
      <w:r>
        <w:t>886</w:t>
      </w:r>
      <w:r w:rsidRPr="002936B5">
        <w:t>-У</w:t>
      </w:r>
      <w:r w:rsidRPr="002936B5">
        <w:br/>
        <w:t>«О минима</w:t>
      </w:r>
      <w:r>
        <w:t>льных (стандартных) требованиях</w:t>
      </w:r>
      <w:r>
        <w:br/>
      </w:r>
      <w:r w:rsidRPr="002936B5">
        <w:t xml:space="preserve">к объему и содержанию информации, предоставляемой кредитной организацией, действующей от своего имени при совершении сделки с физическим лицом по возмездному отчуждению ценных бумаг, при заключении договоров, являющихся производными финансовыми инструментами, либо действующей от имени и (или) по поручению некредитной финансовой организации при заключении </w:t>
      </w:r>
      <w:r>
        <w:br/>
      </w:r>
      <w:r w:rsidRPr="002936B5">
        <w:t xml:space="preserve">с физическим лицом договоров об оказании финансовых услуг, в том числе об их условиях </w:t>
      </w:r>
      <w:r>
        <w:br/>
      </w:r>
      <w:r w:rsidRPr="002936B5">
        <w:t xml:space="preserve">и рисках, связанных с их исполнением, а также </w:t>
      </w:r>
      <w:r>
        <w:br/>
      </w:r>
      <w:r w:rsidRPr="002936B5">
        <w:t>о форме, способах и порядке предоставления указанной информации»</w:t>
      </w:r>
    </w:p>
    <w:p w14:paraId="5D2DCC92" w14:textId="76EB113F" w:rsidR="00AD1148" w:rsidRDefault="00320CF8" w:rsidP="00D46670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410DD3F5" w14:textId="0397966D" w:rsidR="00AD1148" w:rsidRPr="00E34577" w:rsidRDefault="00E34577" w:rsidP="00D46670">
      <w:pPr>
        <w:spacing w:after="240"/>
        <w:jc w:val="center"/>
        <w:rPr>
          <w:sz w:val="26"/>
          <w:szCs w:val="26"/>
        </w:rPr>
      </w:pPr>
      <w:r w:rsidRPr="00E34577">
        <w:rPr>
          <w:sz w:val="26"/>
          <w:szCs w:val="26"/>
        </w:rPr>
        <w:t xml:space="preserve">Информация, </w:t>
      </w:r>
      <w:r w:rsidR="00D46670">
        <w:rPr>
          <w:sz w:val="26"/>
          <w:szCs w:val="26"/>
        </w:rPr>
        <w:br/>
      </w:r>
      <w:r w:rsidRPr="00E34577">
        <w:rPr>
          <w:sz w:val="26"/>
          <w:szCs w:val="26"/>
        </w:rPr>
        <w:t>предоставляемая кредитной организацией, действующей</w:t>
      </w:r>
      <w:r w:rsidR="005123BA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E34577">
        <w:rPr>
          <w:sz w:val="26"/>
          <w:szCs w:val="26"/>
        </w:rPr>
        <w:t xml:space="preserve">от своего имени при совершении сделки с физическим лицом </w:t>
      </w:r>
      <w:r w:rsidR="00D46670">
        <w:rPr>
          <w:sz w:val="26"/>
          <w:szCs w:val="26"/>
        </w:rPr>
        <w:br/>
      </w:r>
      <w:r w:rsidRPr="00E34577">
        <w:rPr>
          <w:sz w:val="26"/>
          <w:szCs w:val="26"/>
        </w:rPr>
        <w:t xml:space="preserve">по возмездному отчуждению ценных бумаг, при заключении </w:t>
      </w:r>
      <w:r w:rsidR="00D46670">
        <w:rPr>
          <w:sz w:val="26"/>
          <w:szCs w:val="26"/>
        </w:rPr>
        <w:br/>
      </w:r>
      <w:r w:rsidRPr="00E34577">
        <w:rPr>
          <w:sz w:val="26"/>
          <w:szCs w:val="26"/>
        </w:rPr>
        <w:t>договоров, являющихся</w:t>
      </w:r>
      <w:r w:rsidR="00D46670">
        <w:rPr>
          <w:sz w:val="26"/>
          <w:szCs w:val="26"/>
        </w:rPr>
        <w:t xml:space="preserve"> </w:t>
      </w:r>
      <w:r w:rsidRPr="00E34577">
        <w:rPr>
          <w:sz w:val="26"/>
          <w:szCs w:val="26"/>
        </w:rPr>
        <w:t xml:space="preserve">производными </w:t>
      </w:r>
      <w:r w:rsidR="00D46670">
        <w:rPr>
          <w:sz w:val="26"/>
          <w:szCs w:val="26"/>
        </w:rPr>
        <w:br/>
      </w:r>
      <w:r w:rsidRPr="00E34577">
        <w:rPr>
          <w:sz w:val="26"/>
          <w:szCs w:val="26"/>
        </w:rPr>
        <w:t>финансовыми инструментами</w:t>
      </w:r>
    </w:p>
    <w:tbl>
      <w:tblPr>
        <w:tblStyle w:val="aa"/>
        <w:tblW w:w="9128" w:type="dxa"/>
        <w:jc w:val="center"/>
        <w:tblBorders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2665"/>
        <w:gridCol w:w="2778"/>
        <w:gridCol w:w="2778"/>
      </w:tblGrid>
      <w:tr w:rsidR="006701DA" w14:paraId="6752EDF4" w14:textId="77777777" w:rsidTr="00DA3F79">
        <w:trPr>
          <w:jc w:val="center"/>
        </w:trPr>
        <w:tc>
          <w:tcPr>
            <w:tcW w:w="907" w:type="dxa"/>
          </w:tcPr>
          <w:p w14:paraId="4A892C74" w14:textId="1C214FA8" w:rsidR="00C02201" w:rsidRPr="00D46670" w:rsidRDefault="00C02201" w:rsidP="006701DA">
            <w:pPr>
              <w:spacing w:before="120" w:after="120"/>
              <w:jc w:val="center"/>
            </w:pPr>
            <w:r w:rsidRPr="00D46670">
              <w:t xml:space="preserve">№ </w:t>
            </w:r>
            <w:r w:rsidR="00D34E46">
              <w:br/>
            </w:r>
            <w:r w:rsidRPr="00D46670">
              <w:t>п/п</w:t>
            </w:r>
          </w:p>
        </w:tc>
        <w:tc>
          <w:tcPr>
            <w:tcW w:w="2665" w:type="dxa"/>
          </w:tcPr>
          <w:p w14:paraId="0B7B3ECD" w14:textId="77777777" w:rsidR="00C02201" w:rsidRPr="00D46670" w:rsidRDefault="00C02201" w:rsidP="006701DA">
            <w:pPr>
              <w:spacing w:before="120" w:after="120"/>
              <w:jc w:val="center"/>
            </w:pPr>
            <w:r w:rsidRPr="00D46670">
              <w:t>Вид информации</w:t>
            </w:r>
          </w:p>
        </w:tc>
        <w:tc>
          <w:tcPr>
            <w:tcW w:w="2778" w:type="dxa"/>
          </w:tcPr>
          <w:p w14:paraId="1224FE17" w14:textId="77777777" w:rsidR="00C02201" w:rsidRPr="00D46670" w:rsidRDefault="00C02201" w:rsidP="006701DA">
            <w:pPr>
              <w:spacing w:before="120" w:after="120"/>
              <w:jc w:val="center"/>
            </w:pPr>
            <w:r w:rsidRPr="00D46670">
              <w:t>Содержание предоставляемой информации</w:t>
            </w:r>
          </w:p>
        </w:tc>
        <w:tc>
          <w:tcPr>
            <w:tcW w:w="2778" w:type="dxa"/>
          </w:tcPr>
          <w:p w14:paraId="30347400" w14:textId="77777777" w:rsidR="00C02201" w:rsidRPr="00D46670" w:rsidRDefault="00C02201" w:rsidP="006701DA">
            <w:pPr>
              <w:spacing w:before="120" w:after="120"/>
              <w:jc w:val="center"/>
            </w:pPr>
            <w:r w:rsidRPr="00D46670">
              <w:t>Подпись физического лица, подтверждающая его ознакомление с информацией</w:t>
            </w:r>
          </w:p>
        </w:tc>
      </w:tr>
    </w:tbl>
    <w:p w14:paraId="6EC5D1E1" w14:textId="77777777" w:rsidR="006701DA" w:rsidRPr="006701DA" w:rsidRDefault="006701DA" w:rsidP="00117D5F">
      <w:pPr>
        <w:spacing w:line="24" w:lineRule="auto"/>
        <w:rPr>
          <w:sz w:val="2"/>
          <w:szCs w:val="2"/>
        </w:rPr>
      </w:pPr>
    </w:p>
    <w:tbl>
      <w:tblPr>
        <w:tblStyle w:val="aa"/>
        <w:tblW w:w="912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2665"/>
        <w:gridCol w:w="2778"/>
        <w:gridCol w:w="340"/>
        <w:gridCol w:w="2098"/>
        <w:gridCol w:w="340"/>
      </w:tblGrid>
      <w:tr w:rsidR="00C02201" w14:paraId="1056BAA6" w14:textId="77777777" w:rsidTr="009C6605">
        <w:trPr>
          <w:tblHeader/>
          <w:jc w:val="center"/>
        </w:trPr>
        <w:tc>
          <w:tcPr>
            <w:tcW w:w="907" w:type="dxa"/>
          </w:tcPr>
          <w:p w14:paraId="737F8E31" w14:textId="77777777" w:rsidR="00C02201" w:rsidRPr="00D46670" w:rsidRDefault="00C02201" w:rsidP="00C02201">
            <w:pPr>
              <w:jc w:val="center"/>
            </w:pPr>
            <w:r w:rsidRPr="00D46670">
              <w:t>1</w:t>
            </w:r>
          </w:p>
        </w:tc>
        <w:tc>
          <w:tcPr>
            <w:tcW w:w="2665" w:type="dxa"/>
          </w:tcPr>
          <w:p w14:paraId="7F7EE4DC" w14:textId="77777777" w:rsidR="00C02201" w:rsidRPr="00D46670" w:rsidRDefault="00C02201" w:rsidP="00C02201">
            <w:pPr>
              <w:jc w:val="center"/>
            </w:pPr>
            <w:r w:rsidRPr="00D46670">
              <w:t>2</w:t>
            </w:r>
          </w:p>
        </w:tc>
        <w:tc>
          <w:tcPr>
            <w:tcW w:w="2778" w:type="dxa"/>
          </w:tcPr>
          <w:p w14:paraId="421EBDE3" w14:textId="77777777" w:rsidR="00C02201" w:rsidRPr="00D46670" w:rsidRDefault="00C02201" w:rsidP="00C02201">
            <w:pPr>
              <w:jc w:val="center"/>
            </w:pPr>
            <w:r w:rsidRPr="00D46670">
              <w:t>3</w:t>
            </w:r>
          </w:p>
        </w:tc>
        <w:tc>
          <w:tcPr>
            <w:tcW w:w="2778" w:type="dxa"/>
            <w:gridSpan w:val="3"/>
          </w:tcPr>
          <w:p w14:paraId="306791F2" w14:textId="77777777" w:rsidR="00C02201" w:rsidRPr="00D46670" w:rsidRDefault="00C02201" w:rsidP="00C02201">
            <w:pPr>
              <w:jc w:val="center"/>
            </w:pPr>
            <w:r w:rsidRPr="00D46670">
              <w:t>4</w:t>
            </w:r>
          </w:p>
        </w:tc>
      </w:tr>
      <w:tr w:rsidR="00BE008B" w14:paraId="38F623C5" w14:textId="77777777" w:rsidTr="0048458E">
        <w:trPr>
          <w:trHeight w:val="425"/>
          <w:jc w:val="center"/>
        </w:trPr>
        <w:tc>
          <w:tcPr>
            <w:tcW w:w="907" w:type="dxa"/>
            <w:vMerge w:val="restart"/>
          </w:tcPr>
          <w:p w14:paraId="6A431B97" w14:textId="77777777" w:rsidR="00BA14B7" w:rsidRPr="00D46670" w:rsidRDefault="00BA14B7" w:rsidP="006701DA">
            <w:pPr>
              <w:spacing w:before="120" w:after="120"/>
              <w:jc w:val="center"/>
            </w:pPr>
            <w:r w:rsidRPr="00D46670">
              <w:t>1</w:t>
            </w:r>
          </w:p>
        </w:tc>
        <w:tc>
          <w:tcPr>
            <w:tcW w:w="2665" w:type="dxa"/>
            <w:vMerge w:val="restart"/>
          </w:tcPr>
          <w:p w14:paraId="2B864CEB" w14:textId="15C81620" w:rsidR="00BA14B7" w:rsidRPr="00D46670" w:rsidRDefault="00BA14B7" w:rsidP="006701DA">
            <w:pPr>
              <w:spacing w:before="120" w:after="120"/>
              <w:ind w:left="57" w:right="57" w:firstLine="227"/>
            </w:pPr>
            <w:r w:rsidRPr="00D46670">
              <w:t xml:space="preserve">Информация о сделке с физическим лицом по возмездному отчуждению ценных бумаг (далее </w:t>
            </w:r>
            <w:r w:rsidR="00D22352" w:rsidRPr="00D46670">
              <w:t>–</w:t>
            </w:r>
            <w:r w:rsidRPr="00D46670">
              <w:t xml:space="preserve"> сделк</w:t>
            </w:r>
            <w:r w:rsidR="000A0206">
              <w:t>а</w:t>
            </w:r>
            <w:r w:rsidRPr="00D46670">
              <w:t>), договоре, являющемся производным финансовым инструментом (далее – ПФИ</w:t>
            </w:r>
            <w:r w:rsidR="006701DA">
              <w:t>)</w:t>
            </w:r>
          </w:p>
        </w:tc>
        <w:tc>
          <w:tcPr>
            <w:tcW w:w="2778" w:type="dxa"/>
            <w:vMerge w:val="restart"/>
          </w:tcPr>
          <w:p w14:paraId="5A419DC6" w14:textId="1994177D" w:rsidR="00BA14B7" w:rsidRPr="00D46670" w:rsidRDefault="009C48AD" w:rsidP="00DA3F79">
            <w:pPr>
              <w:spacing w:before="120" w:after="120"/>
              <w:ind w:left="57" w:right="57" w:firstLine="227"/>
            </w:pPr>
            <w:r w:rsidRPr="00D46670">
              <w:t>1.1</w:t>
            </w:r>
            <w:r w:rsidR="00407D01" w:rsidRPr="00D46670">
              <w:t>.</w:t>
            </w:r>
            <w:r w:rsidRPr="00D46670">
              <w:t> </w:t>
            </w:r>
            <w:r w:rsidR="00BA14B7" w:rsidRPr="00D46670">
              <w:t xml:space="preserve">Переданные по сделке (ПФИ) денежные средства не подлежат страхованию в соответствии с Федеральным законом от 23 декабря </w:t>
            </w:r>
            <w:r w:rsidR="009C6605">
              <w:br/>
            </w:r>
            <w:r w:rsidR="00BA14B7" w:rsidRPr="00D46670">
              <w:t xml:space="preserve">2003 года </w:t>
            </w:r>
            <w:r w:rsidR="007C09D2" w:rsidRPr="00D46670">
              <w:t xml:space="preserve">№ </w:t>
            </w:r>
            <w:r w:rsidR="00BA14B7" w:rsidRPr="00D46670">
              <w:t xml:space="preserve">177-ФЗ </w:t>
            </w:r>
            <w:r w:rsidR="006701DA">
              <w:br/>
            </w:r>
            <w:r w:rsidR="00BA14B7" w:rsidRPr="00D46670">
              <w:t>«О страховании вкладов в банках Российской Федерации»</w:t>
            </w:r>
          </w:p>
        </w:tc>
        <w:tc>
          <w:tcPr>
            <w:tcW w:w="340" w:type="dxa"/>
            <w:tcBorders>
              <w:bottom w:val="nil"/>
              <w:right w:val="nil"/>
            </w:tcBorders>
          </w:tcPr>
          <w:p w14:paraId="224E9CEF" w14:textId="77777777" w:rsidR="00BA14B7" w:rsidRPr="00D46670" w:rsidRDefault="00BA14B7" w:rsidP="00A02E37"/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</w:tcPr>
          <w:p w14:paraId="3CE734CC" w14:textId="77777777" w:rsidR="00BA14B7" w:rsidRPr="00D46670" w:rsidRDefault="00BA14B7" w:rsidP="00956890">
            <w:pPr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</w:tcBorders>
          </w:tcPr>
          <w:p w14:paraId="0CE143E3" w14:textId="77777777" w:rsidR="00BA14B7" w:rsidRPr="00D46670" w:rsidRDefault="00BA14B7" w:rsidP="00A02E37"/>
        </w:tc>
      </w:tr>
      <w:tr w:rsidR="00BE008B" w14:paraId="09418ECD" w14:textId="77777777" w:rsidTr="0048458E">
        <w:trPr>
          <w:trHeight w:hRule="exact" w:val="425"/>
          <w:jc w:val="center"/>
        </w:trPr>
        <w:tc>
          <w:tcPr>
            <w:tcW w:w="907" w:type="dxa"/>
            <w:vMerge/>
          </w:tcPr>
          <w:p w14:paraId="55C72145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665" w:type="dxa"/>
            <w:vMerge/>
          </w:tcPr>
          <w:p w14:paraId="535432B3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778" w:type="dxa"/>
            <w:vMerge/>
          </w:tcPr>
          <w:p w14:paraId="6029E6AD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42835908" w14:textId="77777777" w:rsidR="00BA14B7" w:rsidRPr="00D46670" w:rsidRDefault="00BA14B7" w:rsidP="00A02E37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6E1C" w14:textId="77777777" w:rsidR="00BA14B7" w:rsidRPr="00D46670" w:rsidRDefault="00BA14B7" w:rsidP="00956890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1FBBF8B9" w14:textId="77777777" w:rsidR="00BA14B7" w:rsidRPr="00D46670" w:rsidRDefault="00BA14B7" w:rsidP="00A02E37"/>
        </w:tc>
      </w:tr>
      <w:tr w:rsidR="00BE008B" w14:paraId="49BE0D98" w14:textId="77777777" w:rsidTr="0048458E">
        <w:trPr>
          <w:jc w:val="center"/>
        </w:trPr>
        <w:tc>
          <w:tcPr>
            <w:tcW w:w="907" w:type="dxa"/>
            <w:vMerge/>
          </w:tcPr>
          <w:p w14:paraId="33100DCA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665" w:type="dxa"/>
            <w:vMerge/>
          </w:tcPr>
          <w:p w14:paraId="09EDC485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778" w:type="dxa"/>
            <w:vMerge/>
          </w:tcPr>
          <w:p w14:paraId="0198D665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top w:val="nil"/>
              <w:right w:val="nil"/>
            </w:tcBorders>
          </w:tcPr>
          <w:p w14:paraId="5F659D62" w14:textId="77777777" w:rsidR="00BA14B7" w:rsidRPr="00D46670" w:rsidRDefault="00BA14B7" w:rsidP="00A02E37"/>
        </w:tc>
        <w:tc>
          <w:tcPr>
            <w:tcW w:w="2098" w:type="dxa"/>
            <w:tcBorders>
              <w:top w:val="single" w:sz="4" w:space="0" w:color="auto"/>
              <w:left w:val="nil"/>
              <w:right w:val="nil"/>
            </w:tcBorders>
          </w:tcPr>
          <w:p w14:paraId="58539763" w14:textId="77777777" w:rsidR="00BA14B7" w:rsidRPr="00D46670" w:rsidRDefault="006D0635" w:rsidP="00B233F4">
            <w:pPr>
              <w:spacing w:before="120" w:after="120"/>
              <w:jc w:val="center"/>
            </w:pPr>
            <w:r w:rsidRPr="00D46670">
              <w:t>С</w:t>
            </w:r>
            <w:r w:rsidR="00BA14B7" w:rsidRPr="00D46670">
              <w:t xml:space="preserve"> информацией ознакомлен</w:t>
            </w:r>
          </w:p>
        </w:tc>
        <w:tc>
          <w:tcPr>
            <w:tcW w:w="340" w:type="dxa"/>
            <w:tcBorders>
              <w:top w:val="nil"/>
              <w:left w:val="nil"/>
            </w:tcBorders>
          </w:tcPr>
          <w:p w14:paraId="19E38DA7" w14:textId="77777777" w:rsidR="00BA14B7" w:rsidRPr="00D46670" w:rsidRDefault="00BA14B7" w:rsidP="00A02E37"/>
        </w:tc>
      </w:tr>
      <w:tr w:rsidR="00BE008B" w14:paraId="04AAFC4D" w14:textId="77777777" w:rsidTr="0048458E">
        <w:trPr>
          <w:trHeight w:val="425"/>
          <w:jc w:val="center"/>
        </w:trPr>
        <w:tc>
          <w:tcPr>
            <w:tcW w:w="907" w:type="dxa"/>
            <w:vMerge/>
          </w:tcPr>
          <w:p w14:paraId="1B1C5677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665" w:type="dxa"/>
            <w:vMerge/>
          </w:tcPr>
          <w:p w14:paraId="292DC955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778" w:type="dxa"/>
            <w:vMerge w:val="restart"/>
          </w:tcPr>
          <w:p w14:paraId="5C917AE6" w14:textId="77777777" w:rsidR="00BA14B7" w:rsidRPr="00D46670" w:rsidRDefault="00BA14B7" w:rsidP="00DA3F79">
            <w:pPr>
              <w:spacing w:before="120" w:after="120"/>
              <w:ind w:left="57" w:right="57" w:firstLine="227"/>
            </w:pPr>
            <w:r w:rsidRPr="00D46670">
              <w:t>1.2.</w:t>
            </w:r>
            <w:r w:rsidR="00407D01" w:rsidRPr="00D46670">
              <w:t> </w:t>
            </w:r>
            <w:r w:rsidRPr="00D46670">
              <w:t>Отсутствует гарантия получения доходности</w:t>
            </w:r>
          </w:p>
        </w:tc>
        <w:tc>
          <w:tcPr>
            <w:tcW w:w="340" w:type="dxa"/>
            <w:tcBorders>
              <w:bottom w:val="nil"/>
              <w:right w:val="nil"/>
            </w:tcBorders>
          </w:tcPr>
          <w:p w14:paraId="5424AC29" w14:textId="77777777" w:rsidR="00BA14B7" w:rsidRPr="00D46670" w:rsidRDefault="00BA14B7" w:rsidP="00064EC9"/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</w:tcPr>
          <w:p w14:paraId="1DED7C3C" w14:textId="77777777" w:rsidR="00BA14B7" w:rsidRPr="00D46670" w:rsidRDefault="00BA14B7" w:rsidP="00064EC9">
            <w:pPr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</w:tcBorders>
          </w:tcPr>
          <w:p w14:paraId="3AC3CD62" w14:textId="77777777" w:rsidR="00BA14B7" w:rsidRPr="00D46670" w:rsidRDefault="00BA14B7" w:rsidP="00064EC9"/>
        </w:tc>
      </w:tr>
      <w:tr w:rsidR="00BE008B" w14:paraId="4ECB7C76" w14:textId="77777777" w:rsidTr="0048458E">
        <w:trPr>
          <w:trHeight w:hRule="exact" w:val="425"/>
          <w:jc w:val="center"/>
        </w:trPr>
        <w:tc>
          <w:tcPr>
            <w:tcW w:w="907" w:type="dxa"/>
            <w:vMerge/>
          </w:tcPr>
          <w:p w14:paraId="2E9DC554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665" w:type="dxa"/>
            <w:vMerge/>
          </w:tcPr>
          <w:p w14:paraId="75A7F98F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778" w:type="dxa"/>
            <w:vMerge/>
          </w:tcPr>
          <w:p w14:paraId="481DDF2E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3D07C7D8" w14:textId="77777777" w:rsidR="00BA14B7" w:rsidRPr="00D46670" w:rsidRDefault="00BA14B7" w:rsidP="00064EC9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8507" w14:textId="77777777" w:rsidR="00BA14B7" w:rsidRPr="00D46670" w:rsidRDefault="00BA14B7" w:rsidP="00064EC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531E5C65" w14:textId="77777777" w:rsidR="00BA14B7" w:rsidRPr="00D46670" w:rsidRDefault="00BA14B7" w:rsidP="00064EC9"/>
        </w:tc>
      </w:tr>
      <w:tr w:rsidR="00BE008B" w14:paraId="26CC3D7A" w14:textId="77777777" w:rsidTr="0048458E">
        <w:trPr>
          <w:jc w:val="center"/>
        </w:trPr>
        <w:tc>
          <w:tcPr>
            <w:tcW w:w="907" w:type="dxa"/>
            <w:vMerge/>
          </w:tcPr>
          <w:p w14:paraId="6F7298AD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665" w:type="dxa"/>
            <w:vMerge/>
          </w:tcPr>
          <w:p w14:paraId="1A580E93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778" w:type="dxa"/>
            <w:vMerge/>
          </w:tcPr>
          <w:p w14:paraId="3F33DC44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top w:val="nil"/>
              <w:right w:val="nil"/>
            </w:tcBorders>
          </w:tcPr>
          <w:p w14:paraId="439605C1" w14:textId="77777777" w:rsidR="00BA14B7" w:rsidRPr="00D46670" w:rsidRDefault="00BA14B7" w:rsidP="00064EC9"/>
        </w:tc>
        <w:tc>
          <w:tcPr>
            <w:tcW w:w="2098" w:type="dxa"/>
            <w:tcBorders>
              <w:top w:val="single" w:sz="4" w:space="0" w:color="auto"/>
              <w:left w:val="nil"/>
              <w:right w:val="nil"/>
            </w:tcBorders>
          </w:tcPr>
          <w:p w14:paraId="6D6789EA" w14:textId="77777777" w:rsidR="00BA14B7" w:rsidRPr="00D46670" w:rsidRDefault="006D0635" w:rsidP="00B233F4">
            <w:pPr>
              <w:spacing w:before="120" w:after="120"/>
              <w:jc w:val="center"/>
            </w:pPr>
            <w:r w:rsidRPr="00D46670">
              <w:t>С</w:t>
            </w:r>
            <w:r w:rsidR="00BA14B7" w:rsidRPr="00D46670">
              <w:t xml:space="preserve"> информацией ознакомлен</w:t>
            </w:r>
          </w:p>
        </w:tc>
        <w:tc>
          <w:tcPr>
            <w:tcW w:w="340" w:type="dxa"/>
            <w:tcBorders>
              <w:top w:val="nil"/>
              <w:left w:val="nil"/>
            </w:tcBorders>
          </w:tcPr>
          <w:p w14:paraId="3822B6D1" w14:textId="77777777" w:rsidR="00BA14B7" w:rsidRPr="00D46670" w:rsidRDefault="00BA14B7" w:rsidP="00064EC9"/>
        </w:tc>
      </w:tr>
      <w:tr w:rsidR="00BE008B" w14:paraId="436AEF18" w14:textId="77777777" w:rsidTr="0048458E">
        <w:trPr>
          <w:trHeight w:val="425"/>
          <w:jc w:val="center"/>
        </w:trPr>
        <w:tc>
          <w:tcPr>
            <w:tcW w:w="907" w:type="dxa"/>
            <w:vMerge/>
          </w:tcPr>
          <w:p w14:paraId="045F4B17" w14:textId="77777777" w:rsidR="00BA14B7" w:rsidRPr="00D46670" w:rsidRDefault="00BA14B7" w:rsidP="00064EC9">
            <w:pPr>
              <w:jc w:val="center"/>
            </w:pPr>
          </w:p>
        </w:tc>
        <w:tc>
          <w:tcPr>
            <w:tcW w:w="2665" w:type="dxa"/>
            <w:vMerge/>
          </w:tcPr>
          <w:p w14:paraId="56D055B2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778" w:type="dxa"/>
            <w:vMerge w:val="restart"/>
          </w:tcPr>
          <w:p w14:paraId="11746B2E" w14:textId="0565DCA1" w:rsidR="00BA14B7" w:rsidRPr="00D46670" w:rsidRDefault="00BA14B7" w:rsidP="00DA3F79">
            <w:pPr>
              <w:spacing w:before="120" w:after="120"/>
              <w:ind w:left="57" w:right="57" w:firstLine="227"/>
            </w:pPr>
            <w:r w:rsidRPr="00D46670">
              <w:t>1.3.</w:t>
            </w:r>
            <w:r w:rsidR="009C48AD" w:rsidRPr="00D46670">
              <w:t> </w:t>
            </w:r>
            <w:r w:rsidRPr="00D46670">
              <w:t>Сделка (ПФИ) не является договором банковского вклада (банковского счета)</w:t>
            </w:r>
          </w:p>
        </w:tc>
        <w:tc>
          <w:tcPr>
            <w:tcW w:w="340" w:type="dxa"/>
            <w:tcBorders>
              <w:bottom w:val="nil"/>
              <w:right w:val="nil"/>
            </w:tcBorders>
          </w:tcPr>
          <w:p w14:paraId="3A406B33" w14:textId="77777777" w:rsidR="00BA14B7" w:rsidRPr="00D46670" w:rsidRDefault="00BA14B7" w:rsidP="00064EC9"/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</w:tcPr>
          <w:p w14:paraId="545D52CD" w14:textId="77777777" w:rsidR="00BA14B7" w:rsidRPr="00D46670" w:rsidRDefault="00BA14B7" w:rsidP="00064EC9">
            <w:pPr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</w:tcBorders>
          </w:tcPr>
          <w:p w14:paraId="1B3E630F" w14:textId="77777777" w:rsidR="00BA14B7" w:rsidRPr="00D46670" w:rsidRDefault="00BA14B7" w:rsidP="00064EC9"/>
        </w:tc>
      </w:tr>
      <w:tr w:rsidR="00BE008B" w14:paraId="706D9F0F" w14:textId="77777777" w:rsidTr="0048458E">
        <w:trPr>
          <w:trHeight w:hRule="exact" w:val="425"/>
          <w:jc w:val="center"/>
        </w:trPr>
        <w:tc>
          <w:tcPr>
            <w:tcW w:w="907" w:type="dxa"/>
            <w:vMerge/>
          </w:tcPr>
          <w:p w14:paraId="786351D8" w14:textId="77777777" w:rsidR="00BA14B7" w:rsidRPr="00D46670" w:rsidRDefault="00BA14B7" w:rsidP="00064EC9">
            <w:pPr>
              <w:jc w:val="center"/>
            </w:pPr>
          </w:p>
        </w:tc>
        <w:tc>
          <w:tcPr>
            <w:tcW w:w="2665" w:type="dxa"/>
            <w:vMerge/>
          </w:tcPr>
          <w:p w14:paraId="1547BB6A" w14:textId="77777777" w:rsidR="00BA14B7" w:rsidRPr="00D46670" w:rsidRDefault="00BA14B7" w:rsidP="00064EC9">
            <w:pPr>
              <w:ind w:left="57" w:right="57"/>
              <w:jc w:val="both"/>
            </w:pPr>
          </w:p>
        </w:tc>
        <w:tc>
          <w:tcPr>
            <w:tcW w:w="2778" w:type="dxa"/>
            <w:vMerge/>
          </w:tcPr>
          <w:p w14:paraId="7BED935E" w14:textId="77777777" w:rsidR="00BA14B7" w:rsidRPr="00D46670" w:rsidRDefault="00BA14B7" w:rsidP="00DA3F79">
            <w:pPr>
              <w:spacing w:before="120" w:after="120"/>
              <w:ind w:left="57" w:right="57"/>
              <w:jc w:val="both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643B7063" w14:textId="77777777" w:rsidR="00BA14B7" w:rsidRPr="00D46670" w:rsidRDefault="00BA14B7" w:rsidP="00064EC9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DE4" w14:textId="77777777" w:rsidR="00BA14B7" w:rsidRPr="00D46670" w:rsidRDefault="00BA14B7" w:rsidP="00064EC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36AB9B32" w14:textId="77777777" w:rsidR="00BA14B7" w:rsidRPr="00D46670" w:rsidRDefault="00BA14B7" w:rsidP="00064EC9"/>
        </w:tc>
      </w:tr>
      <w:tr w:rsidR="00BE008B" w14:paraId="7E7A95A3" w14:textId="77777777" w:rsidTr="0048458E">
        <w:trPr>
          <w:jc w:val="center"/>
        </w:trPr>
        <w:tc>
          <w:tcPr>
            <w:tcW w:w="907" w:type="dxa"/>
            <w:vMerge/>
          </w:tcPr>
          <w:p w14:paraId="387BF0BF" w14:textId="77777777" w:rsidR="00BA14B7" w:rsidRPr="00D46670" w:rsidRDefault="00BA14B7" w:rsidP="00064EC9">
            <w:pPr>
              <w:jc w:val="center"/>
            </w:pPr>
          </w:p>
        </w:tc>
        <w:tc>
          <w:tcPr>
            <w:tcW w:w="2665" w:type="dxa"/>
            <w:vMerge/>
          </w:tcPr>
          <w:p w14:paraId="05CF9141" w14:textId="77777777" w:rsidR="00BA14B7" w:rsidRPr="00D46670" w:rsidRDefault="00BA14B7" w:rsidP="00064EC9">
            <w:pPr>
              <w:ind w:left="57" w:right="57"/>
              <w:jc w:val="both"/>
            </w:pPr>
          </w:p>
        </w:tc>
        <w:tc>
          <w:tcPr>
            <w:tcW w:w="2778" w:type="dxa"/>
            <w:vMerge/>
          </w:tcPr>
          <w:p w14:paraId="07041121" w14:textId="77777777" w:rsidR="00BA14B7" w:rsidRPr="00D46670" w:rsidRDefault="00BA14B7" w:rsidP="00DA3F79">
            <w:pPr>
              <w:spacing w:before="120" w:after="120"/>
              <w:ind w:left="57" w:right="57"/>
              <w:jc w:val="both"/>
            </w:pPr>
          </w:p>
        </w:tc>
        <w:tc>
          <w:tcPr>
            <w:tcW w:w="340" w:type="dxa"/>
            <w:tcBorders>
              <w:top w:val="nil"/>
              <w:right w:val="nil"/>
            </w:tcBorders>
          </w:tcPr>
          <w:p w14:paraId="4211E067" w14:textId="77777777" w:rsidR="00BA14B7" w:rsidRPr="00D46670" w:rsidRDefault="00BA14B7" w:rsidP="00064EC9"/>
        </w:tc>
        <w:tc>
          <w:tcPr>
            <w:tcW w:w="2098" w:type="dxa"/>
            <w:tcBorders>
              <w:top w:val="single" w:sz="4" w:space="0" w:color="auto"/>
              <w:left w:val="nil"/>
              <w:right w:val="nil"/>
            </w:tcBorders>
          </w:tcPr>
          <w:p w14:paraId="42DA98D9" w14:textId="77777777" w:rsidR="00BA14B7" w:rsidRPr="00D46670" w:rsidRDefault="006D0635" w:rsidP="00B233F4">
            <w:pPr>
              <w:spacing w:before="120" w:after="120"/>
              <w:jc w:val="center"/>
            </w:pPr>
            <w:r w:rsidRPr="00D46670">
              <w:t>С</w:t>
            </w:r>
            <w:r w:rsidR="00BA14B7" w:rsidRPr="00D46670">
              <w:t xml:space="preserve"> информацией ознакомлен</w:t>
            </w:r>
          </w:p>
        </w:tc>
        <w:tc>
          <w:tcPr>
            <w:tcW w:w="340" w:type="dxa"/>
            <w:tcBorders>
              <w:top w:val="nil"/>
              <w:left w:val="nil"/>
            </w:tcBorders>
          </w:tcPr>
          <w:p w14:paraId="572696F8" w14:textId="77777777" w:rsidR="00BA14B7" w:rsidRPr="00D46670" w:rsidRDefault="00BA14B7" w:rsidP="00064EC9"/>
        </w:tc>
      </w:tr>
      <w:tr w:rsidR="00B233F4" w14:paraId="2C1680B2" w14:textId="77777777" w:rsidTr="00A44A64">
        <w:trPr>
          <w:trHeight w:val="425"/>
          <w:jc w:val="center"/>
        </w:trPr>
        <w:tc>
          <w:tcPr>
            <w:tcW w:w="907" w:type="dxa"/>
            <w:vMerge w:val="restart"/>
          </w:tcPr>
          <w:p w14:paraId="3FCB7D7C" w14:textId="77777777" w:rsidR="00B233F4" w:rsidRPr="004C27BD" w:rsidRDefault="00B233F4" w:rsidP="00B233F4">
            <w:pPr>
              <w:keepNext/>
              <w:spacing w:before="120" w:after="120"/>
              <w:jc w:val="center"/>
            </w:pPr>
            <w:r w:rsidRPr="004C27BD">
              <w:lastRenderedPageBreak/>
              <w:t>2</w:t>
            </w:r>
          </w:p>
        </w:tc>
        <w:tc>
          <w:tcPr>
            <w:tcW w:w="2665" w:type="dxa"/>
            <w:vMerge w:val="restart"/>
          </w:tcPr>
          <w:p w14:paraId="6CDC63E7" w14:textId="41FE16FA" w:rsidR="00B233F4" w:rsidRDefault="00B233F4" w:rsidP="009C6605">
            <w:pPr>
              <w:keepNext/>
              <w:spacing w:before="120"/>
              <w:ind w:left="57" w:right="57" w:firstLine="227"/>
            </w:pPr>
            <w:r w:rsidRPr="004C27BD">
              <w:t>Информация о рисках, связанных с исполнением сделки (ПФИ):</w:t>
            </w:r>
          </w:p>
          <w:p w14:paraId="17381EE7" w14:textId="35992945" w:rsidR="00B233F4" w:rsidRDefault="00B233F4" w:rsidP="009C6605">
            <w:pPr>
              <w:keepNext/>
              <w:ind w:left="57" w:right="57" w:firstLine="227"/>
            </w:pPr>
            <w:r w:rsidRPr="004C27BD">
              <w:t xml:space="preserve">о риске потери физическим лицом первоначально вложенных средств в рамках сделки </w:t>
            </w:r>
            <w:r w:rsidR="009C6605">
              <w:t>(ПФИ)</w:t>
            </w:r>
            <w:r w:rsidRPr="004C27BD">
              <w:t>;</w:t>
            </w:r>
          </w:p>
          <w:p w14:paraId="7C99CDD8" w14:textId="5F0647A7" w:rsidR="00B233F4" w:rsidRPr="004C27BD" w:rsidRDefault="00B233F4" w:rsidP="009C6605">
            <w:pPr>
              <w:keepNext/>
              <w:spacing w:after="120"/>
              <w:ind w:left="57" w:right="57" w:firstLine="227"/>
            </w:pPr>
            <w:r w:rsidRPr="004C27BD">
              <w:t>о риске изменения цен на ценные бумаги, ПФИ</w:t>
            </w:r>
          </w:p>
        </w:tc>
        <w:tc>
          <w:tcPr>
            <w:tcW w:w="2778" w:type="dxa"/>
            <w:vMerge w:val="restart"/>
          </w:tcPr>
          <w:p w14:paraId="337AC278" w14:textId="77777777" w:rsidR="00B233F4" w:rsidRPr="004C27BD" w:rsidRDefault="00B233F4" w:rsidP="00DA3F79">
            <w:pPr>
              <w:keepNext/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bottom w:val="nil"/>
              <w:right w:val="nil"/>
            </w:tcBorders>
          </w:tcPr>
          <w:p w14:paraId="078337C2" w14:textId="77777777" w:rsidR="00B233F4" w:rsidRPr="004C27BD" w:rsidRDefault="00B233F4" w:rsidP="000D70DB">
            <w:pPr>
              <w:keepNext/>
            </w:pP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</w:tcPr>
          <w:p w14:paraId="4FFECFDD" w14:textId="77777777" w:rsidR="00B233F4" w:rsidRPr="004C27BD" w:rsidRDefault="00B233F4" w:rsidP="000D70DB">
            <w:pPr>
              <w:keepNext/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</w:tcBorders>
          </w:tcPr>
          <w:p w14:paraId="7D792893" w14:textId="77777777" w:rsidR="00B233F4" w:rsidRPr="004C27BD" w:rsidRDefault="00B233F4" w:rsidP="000D70DB">
            <w:pPr>
              <w:keepNext/>
            </w:pPr>
          </w:p>
        </w:tc>
      </w:tr>
      <w:tr w:rsidR="00B233F4" w14:paraId="42AD0D29" w14:textId="77777777" w:rsidTr="00A44A64">
        <w:trPr>
          <w:trHeight w:hRule="exact" w:val="425"/>
          <w:jc w:val="center"/>
        </w:trPr>
        <w:tc>
          <w:tcPr>
            <w:tcW w:w="907" w:type="dxa"/>
            <w:vMerge/>
          </w:tcPr>
          <w:p w14:paraId="7653F8B7" w14:textId="77777777" w:rsidR="00B233F4" w:rsidRPr="004C27BD" w:rsidRDefault="00B233F4" w:rsidP="00B233F4">
            <w:pPr>
              <w:keepNext/>
              <w:spacing w:before="120" w:after="120"/>
              <w:jc w:val="center"/>
            </w:pPr>
          </w:p>
        </w:tc>
        <w:tc>
          <w:tcPr>
            <w:tcW w:w="2665" w:type="dxa"/>
            <w:vMerge/>
          </w:tcPr>
          <w:p w14:paraId="0E796C56" w14:textId="0EF7B34E" w:rsidR="00B233F4" w:rsidRPr="004C27BD" w:rsidRDefault="00B233F4" w:rsidP="009C6605">
            <w:pPr>
              <w:keepNext/>
              <w:ind w:left="57" w:right="57" w:firstLine="227"/>
            </w:pPr>
          </w:p>
        </w:tc>
        <w:tc>
          <w:tcPr>
            <w:tcW w:w="2778" w:type="dxa"/>
            <w:vMerge/>
          </w:tcPr>
          <w:p w14:paraId="633DC96D" w14:textId="77777777" w:rsidR="00B233F4" w:rsidRPr="004C27BD" w:rsidRDefault="00B233F4" w:rsidP="00DA3F79">
            <w:pPr>
              <w:keepNext/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54653E8D" w14:textId="77777777" w:rsidR="00B233F4" w:rsidRPr="004C27BD" w:rsidRDefault="00B233F4" w:rsidP="000D70DB">
            <w:pPr>
              <w:keepNext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8CE6" w14:textId="77777777" w:rsidR="00B233F4" w:rsidRPr="004C27BD" w:rsidRDefault="00B233F4" w:rsidP="000D70DB">
            <w:pPr>
              <w:keepNext/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47B3400D" w14:textId="77777777" w:rsidR="00B233F4" w:rsidRPr="004C27BD" w:rsidRDefault="00B233F4" w:rsidP="000D70DB">
            <w:pPr>
              <w:keepNext/>
            </w:pPr>
          </w:p>
        </w:tc>
      </w:tr>
      <w:tr w:rsidR="00B233F4" w14:paraId="69800C9A" w14:textId="77777777" w:rsidTr="00A44A64">
        <w:trPr>
          <w:jc w:val="center"/>
        </w:trPr>
        <w:tc>
          <w:tcPr>
            <w:tcW w:w="907" w:type="dxa"/>
            <w:vMerge/>
          </w:tcPr>
          <w:p w14:paraId="03DEC0F4" w14:textId="77777777" w:rsidR="00B233F4" w:rsidRPr="004C27BD" w:rsidRDefault="00B233F4" w:rsidP="00B233F4">
            <w:pPr>
              <w:spacing w:before="120" w:after="120"/>
              <w:jc w:val="center"/>
            </w:pPr>
          </w:p>
        </w:tc>
        <w:tc>
          <w:tcPr>
            <w:tcW w:w="2665" w:type="dxa"/>
            <w:vMerge/>
          </w:tcPr>
          <w:p w14:paraId="139D0911" w14:textId="77777777" w:rsidR="00B233F4" w:rsidRPr="004C27BD" w:rsidRDefault="00B233F4" w:rsidP="009C6605">
            <w:pPr>
              <w:pStyle w:val="ConsNormal"/>
              <w:spacing w:before="120" w:after="120"/>
              <w:ind w:right="0" w:firstLine="40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</w:tcPr>
          <w:p w14:paraId="0A717C0A" w14:textId="77777777" w:rsidR="00B233F4" w:rsidRPr="004C27BD" w:rsidRDefault="00B233F4" w:rsidP="00DA3F79">
            <w:pPr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3EB03B36" w14:textId="77777777" w:rsidR="00B233F4" w:rsidRPr="004C27BD" w:rsidRDefault="00B233F4" w:rsidP="00A02E37"/>
        </w:tc>
        <w:tc>
          <w:tcPr>
            <w:tcW w:w="209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9DC6D93" w14:textId="77777777" w:rsidR="00B233F4" w:rsidRPr="004C27BD" w:rsidRDefault="00B233F4" w:rsidP="00B233F4">
            <w:pPr>
              <w:spacing w:before="120" w:after="120"/>
              <w:jc w:val="center"/>
            </w:pPr>
            <w:r w:rsidRPr="004C27BD">
              <w:t>С информацией ознакомлен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6864438B" w14:textId="77777777" w:rsidR="00B233F4" w:rsidRPr="004C27BD" w:rsidRDefault="00B233F4" w:rsidP="00A02E37"/>
        </w:tc>
      </w:tr>
      <w:tr w:rsidR="00B233F4" w14:paraId="72485BBD" w14:textId="77777777" w:rsidTr="00877138">
        <w:trPr>
          <w:jc w:val="center"/>
        </w:trPr>
        <w:tc>
          <w:tcPr>
            <w:tcW w:w="907" w:type="dxa"/>
            <w:vMerge/>
            <w:tcBorders>
              <w:bottom w:val="single" w:sz="4" w:space="0" w:color="auto"/>
            </w:tcBorders>
          </w:tcPr>
          <w:p w14:paraId="7070595E" w14:textId="77777777" w:rsidR="00B233F4" w:rsidRPr="004C27BD" w:rsidRDefault="00B233F4" w:rsidP="00B233F4">
            <w:pPr>
              <w:spacing w:before="120" w:after="120"/>
              <w:jc w:val="center"/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14:paraId="21215ACB" w14:textId="4FA65E73" w:rsidR="00B233F4" w:rsidRPr="004C27BD" w:rsidRDefault="00B233F4" w:rsidP="009C6605">
            <w:pPr>
              <w:spacing w:before="120" w:after="120"/>
              <w:ind w:left="57" w:right="57" w:firstLine="227"/>
            </w:pPr>
          </w:p>
        </w:tc>
        <w:tc>
          <w:tcPr>
            <w:tcW w:w="2778" w:type="dxa"/>
            <w:vMerge/>
            <w:tcBorders>
              <w:bottom w:val="single" w:sz="4" w:space="0" w:color="auto"/>
            </w:tcBorders>
          </w:tcPr>
          <w:p w14:paraId="17A4EA1A" w14:textId="77777777" w:rsidR="00B233F4" w:rsidRPr="004C27BD" w:rsidRDefault="00B233F4" w:rsidP="00DA3F79">
            <w:pPr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nil"/>
            </w:tcBorders>
          </w:tcPr>
          <w:p w14:paraId="2CB59E72" w14:textId="77777777" w:rsidR="00B233F4" w:rsidRPr="004C27BD" w:rsidRDefault="00B233F4" w:rsidP="00A02E37"/>
        </w:tc>
        <w:tc>
          <w:tcPr>
            <w:tcW w:w="20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E8C3B54" w14:textId="77777777" w:rsidR="00B233F4" w:rsidRPr="004C27BD" w:rsidRDefault="00B233F4" w:rsidP="00956890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</w:tcBorders>
          </w:tcPr>
          <w:p w14:paraId="74CCDD07" w14:textId="77777777" w:rsidR="00B233F4" w:rsidRPr="004C27BD" w:rsidRDefault="00B233F4" w:rsidP="00A02E37"/>
        </w:tc>
      </w:tr>
      <w:tr w:rsidR="009C6605" w14:paraId="3B3633FC" w14:textId="77777777" w:rsidTr="00A44A64">
        <w:trPr>
          <w:trHeight w:val="425"/>
          <w:jc w:val="center"/>
        </w:trPr>
        <w:tc>
          <w:tcPr>
            <w:tcW w:w="907" w:type="dxa"/>
            <w:vMerge w:val="restart"/>
          </w:tcPr>
          <w:p w14:paraId="5CF447C9" w14:textId="77777777" w:rsidR="009C6605" w:rsidRPr="004C27BD" w:rsidRDefault="009C6605" w:rsidP="009C6605">
            <w:pPr>
              <w:spacing w:before="120" w:after="120"/>
              <w:jc w:val="center"/>
            </w:pPr>
            <w:r w:rsidRPr="004C27BD">
              <w:t>3</w:t>
            </w:r>
          </w:p>
        </w:tc>
        <w:tc>
          <w:tcPr>
            <w:tcW w:w="2665" w:type="dxa"/>
            <w:vMerge w:val="restart"/>
          </w:tcPr>
          <w:p w14:paraId="4EBBEEE9" w14:textId="18B3D57F" w:rsidR="009C6605" w:rsidRPr="004C27BD" w:rsidRDefault="009C6605" w:rsidP="009C6605">
            <w:pPr>
              <w:spacing w:before="120"/>
              <w:ind w:left="57" w:right="57" w:firstLine="227"/>
            </w:pPr>
            <w:r w:rsidRPr="004C27BD">
              <w:t>Информация о сделке (ПФИ):</w:t>
            </w:r>
          </w:p>
          <w:p w14:paraId="1AC94B0C" w14:textId="77777777" w:rsidR="009C6605" w:rsidRPr="004C27BD" w:rsidRDefault="009C6605" w:rsidP="009C6605">
            <w:pPr>
              <w:ind w:right="57" w:firstLine="284"/>
            </w:pPr>
            <w:r w:rsidRPr="004C27BD">
              <w:t>вид ценной бумаги (ПФИ);</w:t>
            </w:r>
          </w:p>
          <w:p w14:paraId="3750BC23" w14:textId="77777777" w:rsidR="009C6605" w:rsidRPr="004C27BD" w:rsidRDefault="009C6605" w:rsidP="009C6605">
            <w:pPr>
              <w:ind w:left="57" w:right="57" w:firstLine="227"/>
            </w:pPr>
            <w:r w:rsidRPr="004C27BD">
              <w:t>порядок определения доходности ценной бумаги (ПФИ);</w:t>
            </w:r>
          </w:p>
          <w:p w14:paraId="2F4E6E12" w14:textId="77777777" w:rsidR="009C6605" w:rsidRPr="004C27BD" w:rsidRDefault="009C6605" w:rsidP="009C6605">
            <w:pPr>
              <w:ind w:left="57" w:right="57" w:firstLine="227"/>
            </w:pPr>
            <w:r w:rsidRPr="004C27BD">
              <w:t xml:space="preserve">виды и суммы платежей (порядок определения сумм платежей), подлежащих уплате физическим лицом и связанных с заключением, исполнением, расторжением сделки </w:t>
            </w:r>
            <w:r>
              <w:t>(ПФИ)</w:t>
            </w:r>
            <w:r w:rsidRPr="004C27BD">
              <w:t>;</w:t>
            </w:r>
          </w:p>
          <w:p w14:paraId="6EE17CD5" w14:textId="77777777" w:rsidR="009C6605" w:rsidRPr="004C27BD" w:rsidRDefault="009C6605" w:rsidP="009C6605">
            <w:pPr>
              <w:ind w:left="57" w:right="57" w:firstLine="227"/>
            </w:pPr>
            <w:r w:rsidRPr="004C27BD">
              <w:t>указание на то, что ценные бумаги ограничены в обороте, в том числе предназначены для квалифицированных инвесторов (в случае если ценные бумаги ограничены в обороте);</w:t>
            </w:r>
          </w:p>
          <w:p w14:paraId="2272DA0A" w14:textId="6A343978" w:rsidR="009C6605" w:rsidRPr="004C27BD" w:rsidRDefault="009C6605" w:rsidP="009C6605">
            <w:pPr>
              <w:spacing w:after="120"/>
              <w:ind w:left="57" w:right="57" w:firstLine="227"/>
            </w:pPr>
            <w:r>
              <w:t xml:space="preserve">информация о праве физического лица, не являющегося квалифицированным инвестором или индивидуальным предпринимателем и приобретающего размещаемые структурные облигации, которые не являются ценными бумагами, предназначенными для квалифицированных инвесторов, в течение </w:t>
            </w:r>
            <w:r>
              <w:br/>
              <w:t>10 рабочих дней с даты заключения договора, на основании которого размещаются указанные структурные облигации, расторгнуть его в одностороннем порядке и потребовать возврата внесенных в оплату структурных облигаций денежных средств (если применимо)</w:t>
            </w:r>
          </w:p>
        </w:tc>
        <w:tc>
          <w:tcPr>
            <w:tcW w:w="2778" w:type="dxa"/>
            <w:vMerge w:val="restart"/>
          </w:tcPr>
          <w:p w14:paraId="2B237A51" w14:textId="77777777" w:rsidR="009C6605" w:rsidRPr="004C27BD" w:rsidRDefault="009C6605" w:rsidP="00DA3F79">
            <w:pPr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bottom w:val="nil"/>
              <w:right w:val="nil"/>
            </w:tcBorders>
          </w:tcPr>
          <w:p w14:paraId="0B183040" w14:textId="77777777" w:rsidR="009C6605" w:rsidRPr="004C27BD" w:rsidRDefault="009C6605" w:rsidP="00A02E37"/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</w:tcPr>
          <w:p w14:paraId="39FFAAEB" w14:textId="77777777" w:rsidR="009C6605" w:rsidRPr="004C27BD" w:rsidRDefault="009C6605" w:rsidP="00956890">
            <w:pPr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</w:tcBorders>
          </w:tcPr>
          <w:p w14:paraId="204CBE88" w14:textId="77777777" w:rsidR="009C6605" w:rsidRPr="004C27BD" w:rsidRDefault="009C6605" w:rsidP="00A02E37"/>
        </w:tc>
      </w:tr>
      <w:tr w:rsidR="009C6605" w14:paraId="22BFB8DB" w14:textId="77777777" w:rsidTr="00A44A64">
        <w:trPr>
          <w:trHeight w:hRule="exact" w:val="425"/>
          <w:jc w:val="center"/>
        </w:trPr>
        <w:tc>
          <w:tcPr>
            <w:tcW w:w="907" w:type="dxa"/>
            <w:vMerge/>
          </w:tcPr>
          <w:p w14:paraId="6B330907" w14:textId="77777777" w:rsidR="009C6605" w:rsidRPr="004C27BD" w:rsidRDefault="009C6605" w:rsidP="00956890">
            <w:pPr>
              <w:jc w:val="center"/>
            </w:pPr>
          </w:p>
        </w:tc>
        <w:tc>
          <w:tcPr>
            <w:tcW w:w="2665" w:type="dxa"/>
            <w:vMerge/>
          </w:tcPr>
          <w:p w14:paraId="1FEE4EC1" w14:textId="1F5B8FB9" w:rsidR="009C6605" w:rsidRPr="004C27BD" w:rsidRDefault="009C6605" w:rsidP="009C6605">
            <w:pPr>
              <w:ind w:left="57" w:right="57" w:firstLine="227"/>
            </w:pPr>
          </w:p>
        </w:tc>
        <w:tc>
          <w:tcPr>
            <w:tcW w:w="2778" w:type="dxa"/>
            <w:vMerge/>
          </w:tcPr>
          <w:p w14:paraId="144FFA3D" w14:textId="77777777" w:rsidR="009C6605" w:rsidRPr="004C27BD" w:rsidRDefault="009C6605" w:rsidP="00DA3F79">
            <w:pPr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5B3FAB82" w14:textId="77777777" w:rsidR="009C6605" w:rsidRPr="004C27BD" w:rsidRDefault="009C6605" w:rsidP="00A02E37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80A8" w14:textId="77777777" w:rsidR="009C6605" w:rsidRPr="004C27BD" w:rsidRDefault="009C6605" w:rsidP="00956890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7F8B6C1E" w14:textId="77777777" w:rsidR="009C6605" w:rsidRPr="004C27BD" w:rsidRDefault="009C6605" w:rsidP="00A02E37"/>
        </w:tc>
      </w:tr>
      <w:tr w:rsidR="009C6605" w14:paraId="44A60900" w14:textId="77777777" w:rsidTr="00A44A64">
        <w:trPr>
          <w:jc w:val="center"/>
        </w:trPr>
        <w:tc>
          <w:tcPr>
            <w:tcW w:w="907" w:type="dxa"/>
            <w:vMerge/>
            <w:tcBorders>
              <w:bottom w:val="single" w:sz="4" w:space="0" w:color="auto"/>
            </w:tcBorders>
          </w:tcPr>
          <w:p w14:paraId="30236A13" w14:textId="77777777" w:rsidR="009C6605" w:rsidRPr="004C27BD" w:rsidRDefault="009C6605" w:rsidP="00956890">
            <w:pPr>
              <w:jc w:val="center"/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14:paraId="59A91D70" w14:textId="631D148B" w:rsidR="009C6605" w:rsidRPr="004C27BD" w:rsidRDefault="009C6605" w:rsidP="009C6605">
            <w:pPr>
              <w:ind w:left="57" w:right="57" w:firstLine="227"/>
            </w:pPr>
          </w:p>
        </w:tc>
        <w:tc>
          <w:tcPr>
            <w:tcW w:w="2778" w:type="dxa"/>
            <w:vMerge/>
            <w:tcBorders>
              <w:bottom w:val="single" w:sz="4" w:space="0" w:color="auto"/>
            </w:tcBorders>
          </w:tcPr>
          <w:p w14:paraId="47DB36EA" w14:textId="77777777" w:rsidR="009C6605" w:rsidRPr="004C27BD" w:rsidRDefault="009C6605" w:rsidP="00DA3F79">
            <w:pPr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nil"/>
            </w:tcBorders>
          </w:tcPr>
          <w:p w14:paraId="3FD6980F" w14:textId="77777777" w:rsidR="009C6605" w:rsidRPr="004C27BD" w:rsidRDefault="009C6605" w:rsidP="00A02E37"/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44441" w14:textId="77777777" w:rsidR="009C6605" w:rsidRPr="004C27BD" w:rsidRDefault="009C6605" w:rsidP="009C6605">
            <w:pPr>
              <w:spacing w:before="120" w:after="120"/>
              <w:jc w:val="center"/>
            </w:pPr>
            <w:r w:rsidRPr="004C27BD">
              <w:t>С информацией ознакомлен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</w:tcBorders>
          </w:tcPr>
          <w:p w14:paraId="210B2C0F" w14:textId="77777777" w:rsidR="009C6605" w:rsidRPr="004C27BD" w:rsidRDefault="009C6605" w:rsidP="00A02E37"/>
        </w:tc>
      </w:tr>
      <w:tr w:rsidR="009C6605" w14:paraId="78C53E93" w14:textId="77777777" w:rsidTr="00A44A64">
        <w:trPr>
          <w:trHeight w:val="425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14:paraId="5A38350D" w14:textId="77777777" w:rsidR="009C6605" w:rsidRPr="004C27BD" w:rsidRDefault="009C6605" w:rsidP="009C6605">
            <w:pPr>
              <w:spacing w:before="120" w:after="120"/>
              <w:jc w:val="center"/>
            </w:pPr>
            <w:r w:rsidRPr="004C27BD">
              <w:lastRenderedPageBreak/>
              <w:t>4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</w:tcBorders>
          </w:tcPr>
          <w:p w14:paraId="77A3E736" w14:textId="261781C5" w:rsidR="009C6605" w:rsidRPr="004C27BD" w:rsidRDefault="009C6605" w:rsidP="009C6605">
            <w:pPr>
              <w:spacing w:before="120"/>
              <w:ind w:left="57" w:right="57" w:firstLine="227"/>
            </w:pPr>
            <w:r w:rsidRPr="004C27BD">
              <w:t>Информация об эмитенте ценной бумаги (о стороне ПФИ):</w:t>
            </w:r>
          </w:p>
          <w:p w14:paraId="65EA00CB" w14:textId="77777777" w:rsidR="009C6605" w:rsidRPr="004C27BD" w:rsidRDefault="009C6605" w:rsidP="009C6605">
            <w:pPr>
              <w:ind w:left="57" w:right="57" w:firstLine="227"/>
            </w:pPr>
            <w:r w:rsidRPr="004C27BD">
              <w:t>полное и сокращенное (при наличии) наименования, основной государственный регистрационный номер (ОГРН), идентификационный номер налогоплательщика (ИНН);</w:t>
            </w:r>
          </w:p>
          <w:p w14:paraId="3AE02B7D" w14:textId="77777777" w:rsidR="009C6605" w:rsidRDefault="009C6605" w:rsidP="009C6605">
            <w:pPr>
              <w:ind w:left="57" w:right="57" w:firstLine="227"/>
            </w:pPr>
            <w:r w:rsidRPr="004C27BD">
              <w:t>присвоенный кредитный рейтинг (при наличии) с указанием полного наименования кредитного рейтингового агентства, присвоившего кредитный рейтинг, значения присвоенного кредитного рейтинга, даты присвоения кредитного рейтинга, краткого описания значения кредитного рейтинга;</w:t>
            </w:r>
          </w:p>
          <w:p w14:paraId="39580BFD" w14:textId="386DDAE8" w:rsidR="009C6605" w:rsidRPr="004C27BD" w:rsidRDefault="009C6605" w:rsidP="009C6605">
            <w:pPr>
              <w:spacing w:after="120"/>
              <w:ind w:left="57" w:right="57" w:firstLine="227"/>
            </w:pPr>
            <w:r w:rsidRPr="004C27BD">
              <w:t xml:space="preserve">адрес эмитента в </w:t>
            </w:r>
            <w:r>
              <w:br/>
            </w:r>
            <w:r w:rsidRPr="004C27BD">
              <w:t xml:space="preserve">пределах места нахождения, указанный в Едином государственном реестре юридических лиц, адрес электронной почты, телефон, адрес официального сайта в информационно-телекоммуникационной </w:t>
            </w:r>
            <w:r>
              <w:br/>
            </w:r>
            <w:r w:rsidRPr="004C27BD">
              <w:t>сети «Интернет» (при наличии)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</w:tcBorders>
          </w:tcPr>
          <w:p w14:paraId="01D0C1B4" w14:textId="77777777" w:rsidR="009C6605" w:rsidRPr="004C27BD" w:rsidRDefault="009C6605" w:rsidP="00DA3F79">
            <w:pPr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nil"/>
            </w:tcBorders>
          </w:tcPr>
          <w:p w14:paraId="40A3D33C" w14:textId="77777777" w:rsidR="009C6605" w:rsidRPr="004C27BD" w:rsidRDefault="009C6605" w:rsidP="00A02E37"/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B6B28" w14:textId="77777777" w:rsidR="009C6605" w:rsidRPr="004C27BD" w:rsidRDefault="009C6605" w:rsidP="00956890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</w:tcBorders>
          </w:tcPr>
          <w:p w14:paraId="4D7ABD84" w14:textId="77777777" w:rsidR="009C6605" w:rsidRPr="004C27BD" w:rsidRDefault="009C6605" w:rsidP="00A02E37"/>
        </w:tc>
      </w:tr>
      <w:tr w:rsidR="009C6605" w14:paraId="0D4C50B9" w14:textId="77777777" w:rsidTr="00A44A64">
        <w:trPr>
          <w:trHeight w:hRule="exact" w:val="425"/>
          <w:jc w:val="center"/>
        </w:trPr>
        <w:tc>
          <w:tcPr>
            <w:tcW w:w="907" w:type="dxa"/>
            <w:vMerge/>
          </w:tcPr>
          <w:p w14:paraId="66BB8533" w14:textId="77777777" w:rsidR="009C6605" w:rsidRPr="004C27BD" w:rsidRDefault="009C6605" w:rsidP="00956890">
            <w:pPr>
              <w:jc w:val="center"/>
            </w:pPr>
          </w:p>
        </w:tc>
        <w:tc>
          <w:tcPr>
            <w:tcW w:w="2665" w:type="dxa"/>
            <w:vMerge/>
          </w:tcPr>
          <w:p w14:paraId="42F1DD3A" w14:textId="547E830A" w:rsidR="009C6605" w:rsidRPr="004C27BD" w:rsidRDefault="009C6605" w:rsidP="008378E3">
            <w:pPr>
              <w:ind w:left="57" w:right="57" w:firstLine="227"/>
              <w:jc w:val="both"/>
            </w:pPr>
          </w:p>
        </w:tc>
        <w:tc>
          <w:tcPr>
            <w:tcW w:w="2778" w:type="dxa"/>
            <w:vMerge/>
          </w:tcPr>
          <w:p w14:paraId="53C0E2E5" w14:textId="77777777" w:rsidR="009C6605" w:rsidRPr="004C27BD" w:rsidRDefault="009C6605" w:rsidP="00DA3F79">
            <w:pPr>
              <w:spacing w:before="120" w:after="120"/>
              <w:ind w:left="57" w:right="57"/>
              <w:jc w:val="both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29CD4974" w14:textId="77777777" w:rsidR="009C6605" w:rsidRPr="004C27BD" w:rsidRDefault="009C6605" w:rsidP="00A02E37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DF3" w14:textId="77777777" w:rsidR="009C6605" w:rsidRPr="004C27BD" w:rsidRDefault="009C6605" w:rsidP="00956890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47290FB4" w14:textId="77777777" w:rsidR="009C6605" w:rsidRPr="004C27BD" w:rsidRDefault="009C6605" w:rsidP="00A02E37"/>
        </w:tc>
      </w:tr>
      <w:tr w:rsidR="009C6605" w14:paraId="17F0B68F" w14:textId="77777777" w:rsidTr="00A44A64">
        <w:trPr>
          <w:jc w:val="center"/>
        </w:trPr>
        <w:tc>
          <w:tcPr>
            <w:tcW w:w="907" w:type="dxa"/>
            <w:vMerge/>
          </w:tcPr>
          <w:p w14:paraId="43C18500" w14:textId="77777777" w:rsidR="009C6605" w:rsidRPr="004C27BD" w:rsidRDefault="009C6605" w:rsidP="00956890">
            <w:pPr>
              <w:jc w:val="center"/>
            </w:pPr>
          </w:p>
        </w:tc>
        <w:tc>
          <w:tcPr>
            <w:tcW w:w="2665" w:type="dxa"/>
            <w:vMerge/>
          </w:tcPr>
          <w:p w14:paraId="721828E3" w14:textId="77777777" w:rsidR="009C6605" w:rsidRPr="004C27BD" w:rsidRDefault="009C6605" w:rsidP="008378E3">
            <w:pPr>
              <w:ind w:left="57" w:right="57" w:firstLine="227"/>
              <w:jc w:val="both"/>
            </w:pPr>
          </w:p>
        </w:tc>
        <w:tc>
          <w:tcPr>
            <w:tcW w:w="2778" w:type="dxa"/>
            <w:vMerge/>
          </w:tcPr>
          <w:p w14:paraId="23E58F24" w14:textId="77777777" w:rsidR="009C6605" w:rsidRPr="004C27BD" w:rsidRDefault="009C6605" w:rsidP="00DA3F79">
            <w:pPr>
              <w:spacing w:before="120" w:after="120"/>
              <w:ind w:left="57" w:right="57"/>
              <w:jc w:val="both"/>
            </w:pPr>
          </w:p>
        </w:tc>
        <w:tc>
          <w:tcPr>
            <w:tcW w:w="340" w:type="dxa"/>
            <w:tcBorders>
              <w:top w:val="nil"/>
              <w:right w:val="nil"/>
            </w:tcBorders>
          </w:tcPr>
          <w:p w14:paraId="38B12987" w14:textId="77777777" w:rsidR="009C6605" w:rsidRPr="004C27BD" w:rsidRDefault="009C6605" w:rsidP="00A02E37"/>
        </w:tc>
        <w:tc>
          <w:tcPr>
            <w:tcW w:w="2098" w:type="dxa"/>
            <w:tcBorders>
              <w:top w:val="single" w:sz="4" w:space="0" w:color="auto"/>
              <w:left w:val="nil"/>
              <w:right w:val="nil"/>
            </w:tcBorders>
          </w:tcPr>
          <w:p w14:paraId="7F92E486" w14:textId="77777777" w:rsidR="009C6605" w:rsidRPr="004C27BD" w:rsidRDefault="009C6605" w:rsidP="009C6605">
            <w:pPr>
              <w:spacing w:before="120" w:after="120"/>
              <w:jc w:val="center"/>
            </w:pPr>
            <w:r w:rsidRPr="004C27BD">
              <w:t>С информацией ознакомлен</w:t>
            </w:r>
          </w:p>
        </w:tc>
        <w:tc>
          <w:tcPr>
            <w:tcW w:w="340" w:type="dxa"/>
            <w:tcBorders>
              <w:top w:val="nil"/>
              <w:left w:val="nil"/>
            </w:tcBorders>
          </w:tcPr>
          <w:p w14:paraId="4155E9A2" w14:textId="77777777" w:rsidR="009C6605" w:rsidRPr="004C27BD" w:rsidRDefault="009C6605" w:rsidP="00A02E37"/>
        </w:tc>
      </w:tr>
      <w:tr w:rsidR="00DA3F79" w14:paraId="11ED850F" w14:textId="77777777" w:rsidTr="00A44A64">
        <w:trPr>
          <w:trHeight w:val="425"/>
          <w:jc w:val="center"/>
        </w:trPr>
        <w:tc>
          <w:tcPr>
            <w:tcW w:w="907" w:type="dxa"/>
            <w:vMerge w:val="restart"/>
          </w:tcPr>
          <w:p w14:paraId="13801D95" w14:textId="77777777" w:rsidR="00DA3F79" w:rsidRPr="004C27BD" w:rsidRDefault="00DA3F79" w:rsidP="00DA3F79">
            <w:pPr>
              <w:spacing w:before="120" w:after="120"/>
              <w:jc w:val="center"/>
            </w:pPr>
            <w:r w:rsidRPr="004C27BD">
              <w:t>5</w:t>
            </w:r>
          </w:p>
        </w:tc>
        <w:tc>
          <w:tcPr>
            <w:tcW w:w="2665" w:type="dxa"/>
            <w:vMerge w:val="restart"/>
          </w:tcPr>
          <w:p w14:paraId="6051394C" w14:textId="1D727F94" w:rsidR="00DA3F79" w:rsidRPr="004C27BD" w:rsidRDefault="00DA3F79" w:rsidP="00DA3F79">
            <w:pPr>
              <w:spacing w:before="120"/>
              <w:ind w:left="57" w:right="57" w:firstLine="227"/>
            </w:pPr>
            <w:r w:rsidRPr="004C27BD">
              <w:t xml:space="preserve">Информация о способах </w:t>
            </w:r>
            <w:r>
              <w:br/>
            </w:r>
            <w:r w:rsidRPr="004C27BD">
              <w:t>и об адресах направления обращений (в том числе жалоб) физических лиц, о порядке разрешения споров:</w:t>
            </w:r>
          </w:p>
          <w:p w14:paraId="27101152" w14:textId="77777777" w:rsidR="00DA3F79" w:rsidRPr="004C27BD" w:rsidRDefault="00DA3F79" w:rsidP="00DA3F79">
            <w:pPr>
              <w:ind w:left="57" w:right="57" w:firstLine="227"/>
            </w:pPr>
            <w:r w:rsidRPr="004C27BD">
              <w:t>способы и адреса направления обращений (в том числе жалоб) физических лиц в кредитную организацию, в Банк России;</w:t>
            </w:r>
          </w:p>
          <w:p w14:paraId="34FB9C12" w14:textId="325B1703" w:rsidR="00DA3F79" w:rsidRPr="004C27BD" w:rsidRDefault="00DA3F79" w:rsidP="00DA3F79">
            <w:pPr>
              <w:spacing w:after="120"/>
              <w:ind w:left="57" w:right="57" w:firstLine="227"/>
            </w:pPr>
            <w:r w:rsidRPr="004C27BD">
              <w:t xml:space="preserve">о наличии возможности </w:t>
            </w:r>
            <w:r>
              <w:br/>
            </w:r>
            <w:r w:rsidRPr="004C27BD">
              <w:t xml:space="preserve">и способах досудебного (внесудебного) урегулирования спора (включая порядок обращения к уполномоченному по </w:t>
            </w:r>
            <w:r>
              <w:br/>
            </w:r>
            <w:r w:rsidRPr="004C27BD">
              <w:t xml:space="preserve">правам потребителей финансовых услуг), процедуре медиации (при </w:t>
            </w:r>
            <w:r>
              <w:br/>
            </w:r>
            <w:r w:rsidRPr="004C27BD">
              <w:t>их наличии)</w:t>
            </w:r>
          </w:p>
        </w:tc>
        <w:tc>
          <w:tcPr>
            <w:tcW w:w="2778" w:type="dxa"/>
            <w:vMerge w:val="restart"/>
          </w:tcPr>
          <w:p w14:paraId="339F2832" w14:textId="77777777" w:rsidR="00DA3F79" w:rsidRPr="004C27BD" w:rsidRDefault="00DA3F79" w:rsidP="00DA3F79">
            <w:pPr>
              <w:spacing w:before="120" w:after="120"/>
              <w:ind w:left="57" w:right="57"/>
            </w:pPr>
          </w:p>
        </w:tc>
        <w:tc>
          <w:tcPr>
            <w:tcW w:w="340" w:type="dxa"/>
            <w:tcBorders>
              <w:bottom w:val="nil"/>
              <w:right w:val="nil"/>
            </w:tcBorders>
          </w:tcPr>
          <w:p w14:paraId="7BD5CED7" w14:textId="77777777" w:rsidR="00DA3F79" w:rsidRPr="004C27BD" w:rsidRDefault="00DA3F79" w:rsidP="00A02E37"/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</w:tcPr>
          <w:p w14:paraId="546D15A6" w14:textId="77777777" w:rsidR="00DA3F79" w:rsidRPr="004C27BD" w:rsidRDefault="00DA3F79" w:rsidP="00956890">
            <w:pPr>
              <w:jc w:val="center"/>
            </w:pPr>
          </w:p>
        </w:tc>
        <w:tc>
          <w:tcPr>
            <w:tcW w:w="340" w:type="dxa"/>
            <w:tcBorders>
              <w:left w:val="nil"/>
              <w:bottom w:val="nil"/>
            </w:tcBorders>
          </w:tcPr>
          <w:p w14:paraId="77E471C5" w14:textId="77777777" w:rsidR="00DA3F79" w:rsidRPr="004C27BD" w:rsidRDefault="00DA3F79" w:rsidP="00A02E37"/>
        </w:tc>
      </w:tr>
      <w:tr w:rsidR="00DA3F79" w14:paraId="1C62D6E0" w14:textId="77777777" w:rsidTr="00A44A64">
        <w:trPr>
          <w:trHeight w:hRule="exact" w:val="425"/>
          <w:jc w:val="center"/>
        </w:trPr>
        <w:tc>
          <w:tcPr>
            <w:tcW w:w="907" w:type="dxa"/>
            <w:vMerge/>
          </w:tcPr>
          <w:p w14:paraId="1F64C50F" w14:textId="77777777" w:rsidR="00DA3F79" w:rsidRPr="004C27BD" w:rsidRDefault="00DA3F79" w:rsidP="00956890">
            <w:pPr>
              <w:jc w:val="center"/>
            </w:pPr>
          </w:p>
        </w:tc>
        <w:tc>
          <w:tcPr>
            <w:tcW w:w="2665" w:type="dxa"/>
            <w:vMerge/>
          </w:tcPr>
          <w:p w14:paraId="77E89FA5" w14:textId="291ABED2" w:rsidR="00DA3F79" w:rsidRPr="004C27BD" w:rsidRDefault="00DA3F79" w:rsidP="001E4A7D">
            <w:pPr>
              <w:ind w:left="57" w:right="57" w:firstLine="227"/>
              <w:jc w:val="both"/>
            </w:pPr>
          </w:p>
        </w:tc>
        <w:tc>
          <w:tcPr>
            <w:tcW w:w="2778" w:type="dxa"/>
            <w:vMerge/>
          </w:tcPr>
          <w:p w14:paraId="32417CEC" w14:textId="77777777" w:rsidR="00DA3F79" w:rsidRPr="004C27BD" w:rsidRDefault="00DA3F79" w:rsidP="00884EEE">
            <w:pPr>
              <w:ind w:left="57" w:right="57"/>
              <w:jc w:val="both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15622681" w14:textId="77777777" w:rsidR="00DA3F79" w:rsidRPr="004C27BD" w:rsidRDefault="00DA3F79" w:rsidP="00A02E37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240" w14:textId="77777777" w:rsidR="00DA3F79" w:rsidRPr="004C27BD" w:rsidRDefault="00DA3F79" w:rsidP="00956890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52D3A4B7" w14:textId="77777777" w:rsidR="00DA3F79" w:rsidRPr="004C27BD" w:rsidRDefault="00DA3F79" w:rsidP="00A02E37"/>
        </w:tc>
      </w:tr>
      <w:tr w:rsidR="00DA3F79" w14:paraId="7D9A51BE" w14:textId="77777777" w:rsidTr="00A44A64">
        <w:trPr>
          <w:jc w:val="center"/>
        </w:trPr>
        <w:tc>
          <w:tcPr>
            <w:tcW w:w="907" w:type="dxa"/>
            <w:vMerge/>
          </w:tcPr>
          <w:p w14:paraId="16DA136A" w14:textId="77777777" w:rsidR="00DA3F79" w:rsidRPr="004C27BD" w:rsidRDefault="00DA3F79" w:rsidP="00956890">
            <w:pPr>
              <w:jc w:val="center"/>
            </w:pPr>
          </w:p>
        </w:tc>
        <w:tc>
          <w:tcPr>
            <w:tcW w:w="2665" w:type="dxa"/>
            <w:vMerge/>
          </w:tcPr>
          <w:p w14:paraId="47277A49" w14:textId="7F10CB5A" w:rsidR="00DA3F79" w:rsidRPr="004C27BD" w:rsidRDefault="00DA3F79" w:rsidP="001E4A7D">
            <w:pPr>
              <w:ind w:left="57" w:right="57" w:firstLine="227"/>
              <w:jc w:val="both"/>
            </w:pPr>
          </w:p>
        </w:tc>
        <w:tc>
          <w:tcPr>
            <w:tcW w:w="2778" w:type="dxa"/>
            <w:vMerge/>
          </w:tcPr>
          <w:p w14:paraId="508B25E0" w14:textId="77777777" w:rsidR="00DA3F79" w:rsidRPr="004C27BD" w:rsidRDefault="00DA3F79" w:rsidP="00884EEE">
            <w:pPr>
              <w:ind w:left="57" w:right="57"/>
              <w:jc w:val="both"/>
            </w:pPr>
          </w:p>
        </w:tc>
        <w:tc>
          <w:tcPr>
            <w:tcW w:w="340" w:type="dxa"/>
            <w:tcBorders>
              <w:top w:val="nil"/>
              <w:right w:val="nil"/>
            </w:tcBorders>
          </w:tcPr>
          <w:p w14:paraId="0538D6AC" w14:textId="77777777" w:rsidR="00DA3F79" w:rsidRPr="004C27BD" w:rsidRDefault="00DA3F79" w:rsidP="00A02E37"/>
        </w:tc>
        <w:tc>
          <w:tcPr>
            <w:tcW w:w="2098" w:type="dxa"/>
            <w:tcBorders>
              <w:top w:val="single" w:sz="4" w:space="0" w:color="auto"/>
              <w:left w:val="nil"/>
              <w:right w:val="nil"/>
            </w:tcBorders>
          </w:tcPr>
          <w:p w14:paraId="70904538" w14:textId="77777777" w:rsidR="00DA3F79" w:rsidRPr="004C27BD" w:rsidRDefault="00DA3F79" w:rsidP="00DA3F79">
            <w:pPr>
              <w:spacing w:before="120" w:after="120"/>
              <w:jc w:val="center"/>
            </w:pPr>
            <w:r w:rsidRPr="004C27BD">
              <w:t>С информацией ознакомлен</w:t>
            </w:r>
          </w:p>
        </w:tc>
        <w:tc>
          <w:tcPr>
            <w:tcW w:w="340" w:type="dxa"/>
            <w:tcBorders>
              <w:top w:val="nil"/>
              <w:left w:val="nil"/>
            </w:tcBorders>
          </w:tcPr>
          <w:p w14:paraId="69BC7325" w14:textId="77777777" w:rsidR="00DA3F79" w:rsidRPr="004C27BD" w:rsidRDefault="00DA3F79" w:rsidP="00A02E37"/>
        </w:tc>
      </w:tr>
    </w:tbl>
    <w:p w14:paraId="19D14AE4" w14:textId="77777777" w:rsidR="00AD1148" w:rsidRPr="00117D5F" w:rsidRDefault="00AD1148"/>
    <w:sectPr w:rsidR="00AD1148" w:rsidRPr="00117D5F" w:rsidSect="003466B2">
      <w:headerReference w:type="default" r:id="rId7"/>
      <w:pgSz w:w="11907" w:h="16840" w:code="9"/>
      <w:pgMar w:top="1134" w:right="1134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413A" w14:textId="77777777" w:rsidR="00604532" w:rsidRDefault="00604532">
      <w:r>
        <w:separator/>
      </w:r>
    </w:p>
  </w:endnote>
  <w:endnote w:type="continuationSeparator" w:id="0">
    <w:p w14:paraId="108EC628" w14:textId="77777777" w:rsidR="00604532" w:rsidRDefault="0060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649A" w14:textId="77777777" w:rsidR="00604532" w:rsidRDefault="00604532">
      <w:r>
        <w:separator/>
      </w:r>
    </w:p>
  </w:footnote>
  <w:footnote w:type="continuationSeparator" w:id="0">
    <w:p w14:paraId="67BBD648" w14:textId="77777777" w:rsidR="00604532" w:rsidRDefault="0060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7D5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64EC9"/>
    <w:rsid w:val="00095DE3"/>
    <w:rsid w:val="000A0206"/>
    <w:rsid w:val="000C6EE5"/>
    <w:rsid w:val="000D70DB"/>
    <w:rsid w:val="000E6D47"/>
    <w:rsid w:val="000E7BEB"/>
    <w:rsid w:val="00110579"/>
    <w:rsid w:val="0011738B"/>
    <w:rsid w:val="00117D5F"/>
    <w:rsid w:val="00133BF7"/>
    <w:rsid w:val="00182531"/>
    <w:rsid w:val="001C4440"/>
    <w:rsid w:val="001E4A7D"/>
    <w:rsid w:val="001E5FA8"/>
    <w:rsid w:val="001F7D64"/>
    <w:rsid w:val="002936B5"/>
    <w:rsid w:val="002B00B5"/>
    <w:rsid w:val="00320CF8"/>
    <w:rsid w:val="00327535"/>
    <w:rsid w:val="003466B2"/>
    <w:rsid w:val="0038618B"/>
    <w:rsid w:val="00395CDF"/>
    <w:rsid w:val="003B7C9C"/>
    <w:rsid w:val="003E7C4B"/>
    <w:rsid w:val="00407D01"/>
    <w:rsid w:val="00415AAD"/>
    <w:rsid w:val="004445E9"/>
    <w:rsid w:val="004462A1"/>
    <w:rsid w:val="0046795F"/>
    <w:rsid w:val="0048458E"/>
    <w:rsid w:val="004874FF"/>
    <w:rsid w:val="00492BEC"/>
    <w:rsid w:val="004B6724"/>
    <w:rsid w:val="004C0545"/>
    <w:rsid w:val="004C27BD"/>
    <w:rsid w:val="004D04AC"/>
    <w:rsid w:val="004E5446"/>
    <w:rsid w:val="005123BA"/>
    <w:rsid w:val="00570B07"/>
    <w:rsid w:val="005B3F6D"/>
    <w:rsid w:val="005C78F8"/>
    <w:rsid w:val="00604532"/>
    <w:rsid w:val="00622879"/>
    <w:rsid w:val="0064250D"/>
    <w:rsid w:val="00654648"/>
    <w:rsid w:val="006701DA"/>
    <w:rsid w:val="006A0794"/>
    <w:rsid w:val="006A55D9"/>
    <w:rsid w:val="006D0635"/>
    <w:rsid w:val="006E08EA"/>
    <w:rsid w:val="00724EA1"/>
    <w:rsid w:val="00726E69"/>
    <w:rsid w:val="007272F0"/>
    <w:rsid w:val="007772D9"/>
    <w:rsid w:val="007C09D2"/>
    <w:rsid w:val="007C33E4"/>
    <w:rsid w:val="007E1551"/>
    <w:rsid w:val="008378E3"/>
    <w:rsid w:val="00877138"/>
    <w:rsid w:val="00884EEE"/>
    <w:rsid w:val="00885B23"/>
    <w:rsid w:val="00893699"/>
    <w:rsid w:val="008A42E6"/>
    <w:rsid w:val="008E344F"/>
    <w:rsid w:val="00901F1A"/>
    <w:rsid w:val="00913093"/>
    <w:rsid w:val="00956890"/>
    <w:rsid w:val="009B01A7"/>
    <w:rsid w:val="009C3FFE"/>
    <w:rsid w:val="009C4858"/>
    <w:rsid w:val="009C48AD"/>
    <w:rsid w:val="009C6605"/>
    <w:rsid w:val="009C674D"/>
    <w:rsid w:val="009F59F7"/>
    <w:rsid w:val="00A02E37"/>
    <w:rsid w:val="00A15E4A"/>
    <w:rsid w:val="00A2172E"/>
    <w:rsid w:val="00A44A64"/>
    <w:rsid w:val="00A963E2"/>
    <w:rsid w:val="00AB0F67"/>
    <w:rsid w:val="00AB141D"/>
    <w:rsid w:val="00AD1148"/>
    <w:rsid w:val="00AD17C0"/>
    <w:rsid w:val="00AF3972"/>
    <w:rsid w:val="00B053DA"/>
    <w:rsid w:val="00B233F4"/>
    <w:rsid w:val="00B66943"/>
    <w:rsid w:val="00BA14B7"/>
    <w:rsid w:val="00BE008B"/>
    <w:rsid w:val="00C02201"/>
    <w:rsid w:val="00C0393A"/>
    <w:rsid w:val="00C17DF6"/>
    <w:rsid w:val="00C42656"/>
    <w:rsid w:val="00C61615"/>
    <w:rsid w:val="00CB357E"/>
    <w:rsid w:val="00CC4E37"/>
    <w:rsid w:val="00CE06A1"/>
    <w:rsid w:val="00CF422F"/>
    <w:rsid w:val="00D021CB"/>
    <w:rsid w:val="00D22352"/>
    <w:rsid w:val="00D34E46"/>
    <w:rsid w:val="00D41342"/>
    <w:rsid w:val="00D45D2F"/>
    <w:rsid w:val="00D46670"/>
    <w:rsid w:val="00D81CF1"/>
    <w:rsid w:val="00D925B7"/>
    <w:rsid w:val="00D9515D"/>
    <w:rsid w:val="00DA3F79"/>
    <w:rsid w:val="00DE3FC8"/>
    <w:rsid w:val="00E1651A"/>
    <w:rsid w:val="00E34577"/>
    <w:rsid w:val="00E479D2"/>
    <w:rsid w:val="00E54E5B"/>
    <w:rsid w:val="00E90130"/>
    <w:rsid w:val="00E97154"/>
    <w:rsid w:val="00ED74B1"/>
    <w:rsid w:val="00EE404D"/>
    <w:rsid w:val="00F4584F"/>
    <w:rsid w:val="00F47663"/>
    <w:rsid w:val="00F81454"/>
    <w:rsid w:val="00FA0738"/>
    <w:rsid w:val="00F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0D9B9"/>
  <w14:defaultImageDpi w14:val="0"/>
  <w15:docId w15:val="{58C3965F-58BE-4382-BA96-3C474C7A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E479D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884EEE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884EEE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3E7C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A3A8-037B-4592-84D9-FB5A47C4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19</cp:revision>
  <cp:lastPrinted>2024-11-15T07:09:00Z</cp:lastPrinted>
  <dcterms:created xsi:type="dcterms:W3CDTF">2024-11-14T10:48:00Z</dcterms:created>
  <dcterms:modified xsi:type="dcterms:W3CDTF">2024-11-15T07:20:00Z</dcterms:modified>
</cp:coreProperties>
</file>