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25DF8" w14:textId="77777777" w:rsidR="00B23521" w:rsidRPr="00B23521" w:rsidRDefault="00B23521" w:rsidP="00B23521">
      <w:pPr>
        <w:spacing w:after="0" w:line="240" w:lineRule="auto"/>
        <w:rPr>
          <w:rFonts w:ascii="Tahoma" w:hAnsi="Tahoma" w:cs="Tahoma"/>
          <w:szCs w:val="20"/>
        </w:rPr>
      </w:pPr>
      <w:r w:rsidRPr="00B23521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B23521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B23521">
        <w:rPr>
          <w:rFonts w:ascii="Tahoma" w:hAnsi="Tahoma" w:cs="Tahoma"/>
          <w:szCs w:val="20"/>
        </w:rPr>
        <w:br/>
      </w:r>
    </w:p>
    <w:p w14:paraId="085BCFEF" w14:textId="77777777" w:rsidR="00B23521" w:rsidRDefault="00B23521" w:rsidP="00B23521">
      <w:pPr>
        <w:spacing w:after="1" w:line="200" w:lineRule="atLeast"/>
        <w:jc w:val="both"/>
      </w:pPr>
    </w:p>
    <w:p w14:paraId="4544B953" w14:textId="77777777" w:rsidR="00B23521" w:rsidRPr="00B23521" w:rsidRDefault="00B23521" w:rsidP="00B23521">
      <w:pPr>
        <w:spacing w:after="1" w:line="200" w:lineRule="atLeast"/>
        <w:jc w:val="center"/>
      </w:pPr>
      <w:r w:rsidRPr="00B23521">
        <w:rPr>
          <w:b/>
          <w:bCs/>
        </w:rPr>
        <w:t>СРАВНЕНИЕ</w:t>
      </w:r>
    </w:p>
    <w:p w14:paraId="78867326" w14:textId="77777777" w:rsidR="00B23521" w:rsidRDefault="00B23521" w:rsidP="00B23521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B23521" w14:paraId="4E44A686" w14:textId="77777777" w:rsidTr="00B23521">
        <w:tc>
          <w:tcPr>
            <w:tcW w:w="7597" w:type="dxa"/>
          </w:tcPr>
          <w:p w14:paraId="58FC7C61" w14:textId="77777777" w:rsidR="00B23521" w:rsidRDefault="00B23521" w:rsidP="00B23521">
            <w:pPr>
              <w:spacing w:after="1" w:line="200" w:lineRule="atLeast"/>
              <w:jc w:val="both"/>
            </w:pPr>
            <w:r w:rsidRPr="00B23521">
              <w:t>Указание Банка России от 08.10.2018 N 4927-У</w:t>
            </w:r>
          </w:p>
        </w:tc>
        <w:tc>
          <w:tcPr>
            <w:tcW w:w="7597" w:type="dxa"/>
          </w:tcPr>
          <w:p w14:paraId="693C6D94" w14:textId="77777777" w:rsidR="00B23521" w:rsidRDefault="00B23521">
            <w:pPr>
              <w:spacing w:after="1" w:line="200" w:lineRule="atLeast"/>
              <w:jc w:val="both"/>
            </w:pPr>
            <w:r w:rsidRPr="00B23521">
              <w:t>Указание Банка России от 10.04.2023 N 6406-У</w:t>
            </w:r>
          </w:p>
        </w:tc>
      </w:tr>
      <w:tr w:rsidR="00B23521" w14:paraId="234B36A6" w14:textId="77777777" w:rsidTr="00B23521">
        <w:tc>
          <w:tcPr>
            <w:tcW w:w="7597" w:type="dxa"/>
          </w:tcPr>
          <w:p w14:paraId="3AB541C4" w14:textId="77777777" w:rsidR="00B23521" w:rsidRDefault="00E56480" w:rsidP="00B23521">
            <w:pPr>
              <w:spacing w:after="1" w:line="200" w:lineRule="atLeast"/>
              <w:jc w:val="both"/>
            </w:pPr>
            <w:hyperlink r:id="rId5" w:history="1">
              <w:r w:rsidR="00B23521" w:rsidRPr="00B23521">
                <w:rPr>
                  <w:rStyle w:val="a3"/>
                </w:rPr>
                <w:t>Сведения</w:t>
              </w:r>
            </w:hyperlink>
            <w:r w:rsidR="00B23521" w:rsidRPr="00B23521">
              <w:t xml:space="preserve"> кредитных организаций о начале (завершении) эмиссии и (или) эквайринга платежных карт (Код формы по ОКУД 0409255 (на нерегулярной основе))</w:t>
            </w:r>
          </w:p>
        </w:tc>
        <w:tc>
          <w:tcPr>
            <w:tcW w:w="7597" w:type="dxa"/>
          </w:tcPr>
          <w:p w14:paraId="56A8C2EF" w14:textId="6FC045E0" w:rsidR="00B23521" w:rsidRDefault="00E56480">
            <w:pPr>
              <w:spacing w:after="1" w:line="200" w:lineRule="atLeast"/>
              <w:jc w:val="both"/>
            </w:pPr>
            <w:hyperlink r:id="rId6" w:history="1">
              <w:r w:rsidR="00B23521" w:rsidRPr="00B23521">
                <w:rPr>
                  <w:rStyle w:val="a3"/>
                </w:rPr>
                <w:t>Свед</w:t>
              </w:r>
              <w:bookmarkStart w:id="0" w:name="_GoBack"/>
              <w:bookmarkEnd w:id="0"/>
              <w:r w:rsidR="00B23521" w:rsidRPr="00B23521">
                <w:rPr>
                  <w:rStyle w:val="a3"/>
                </w:rPr>
                <w:t>е</w:t>
              </w:r>
              <w:r w:rsidR="00B23521" w:rsidRPr="00B23521">
                <w:rPr>
                  <w:rStyle w:val="a3"/>
                </w:rPr>
                <w:t>н</w:t>
              </w:r>
              <w:r w:rsidR="00B23521" w:rsidRPr="00B23521">
                <w:rPr>
                  <w:rStyle w:val="a3"/>
                </w:rPr>
                <w:t>ия</w:t>
              </w:r>
            </w:hyperlink>
            <w:r w:rsidR="00B23521" w:rsidRPr="00B23521">
              <w:t xml:space="preserve"> о начале (завершении) эмиссии и (или) эквайринга электронных средств платежа (Форма (на нерегулярной основе), код формы по ОКУД 0409255)</w:t>
            </w:r>
          </w:p>
        </w:tc>
      </w:tr>
      <w:tr w:rsidR="00B23521" w14:paraId="2E4477F0" w14:textId="77777777" w:rsidTr="00B23521">
        <w:tc>
          <w:tcPr>
            <w:tcW w:w="7597" w:type="dxa"/>
          </w:tcPr>
          <w:p w14:paraId="177C4065" w14:textId="77777777" w:rsidR="00B23521" w:rsidRDefault="00B23521" w:rsidP="00B23521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4BF1E1D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02F2F397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841EEC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3D778C0C" w14:textId="77777777" w:rsidR="00B23521" w:rsidRDefault="00B23521">
            <w:pPr>
              <w:spacing w:after="1" w:line="200" w:lineRule="atLeast"/>
              <w:jc w:val="both"/>
            </w:pPr>
          </w:p>
        </w:tc>
      </w:tr>
      <w:tr w:rsidR="00841EEC" w14:paraId="1BA511B1" w14:textId="77777777" w:rsidTr="00B23521">
        <w:tc>
          <w:tcPr>
            <w:tcW w:w="7597" w:type="dxa"/>
          </w:tcPr>
          <w:p w14:paraId="13B9F8EC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4"/>
              <w:gridCol w:w="1559"/>
              <w:gridCol w:w="993"/>
              <w:gridCol w:w="2527"/>
            </w:tblGrid>
            <w:tr w:rsidR="00841EEC" w14:paraId="71DEAF40" w14:textId="77777777" w:rsidTr="001939C6">
              <w:tc>
                <w:tcPr>
                  <w:tcW w:w="7403" w:type="dxa"/>
                  <w:gridSpan w:val="4"/>
                </w:tcPr>
                <w:p w14:paraId="608F3B3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841EEC" w14:paraId="6B01E76E" w14:textId="77777777" w:rsidTr="001939C6">
              <w:tc>
                <w:tcPr>
                  <w:tcW w:w="2324" w:type="dxa"/>
                  <w:vMerge w:val="restart"/>
                  <w:tcBorders>
                    <w:right w:val="single" w:sz="4" w:space="0" w:color="auto"/>
                  </w:tcBorders>
                </w:tcPr>
                <w:p w14:paraId="06F60C0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6A6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6763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841EEC" w14:paraId="7F5532DC" w14:textId="77777777" w:rsidTr="001939C6">
              <w:tc>
                <w:tcPr>
                  <w:tcW w:w="2324" w:type="dxa"/>
                  <w:vMerge/>
                  <w:tcBorders>
                    <w:right w:val="single" w:sz="4" w:space="0" w:color="auto"/>
                  </w:tcBorders>
                </w:tcPr>
                <w:p w14:paraId="431863C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92DE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2B18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0CA1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841EEC" w14:paraId="4F774108" w14:textId="77777777" w:rsidTr="001939C6">
              <w:tc>
                <w:tcPr>
                  <w:tcW w:w="2324" w:type="dxa"/>
                  <w:tcBorders>
                    <w:right w:val="single" w:sz="4" w:space="0" w:color="auto"/>
                  </w:tcBorders>
                </w:tcPr>
                <w:p w14:paraId="028D1AC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9440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44E96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7B35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D06ADA5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4404F55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41EEC">
              <w:rPr>
                <w:rFonts w:ascii="Courier New" w:hAnsi="Courier New" w:cs="Courier New"/>
                <w:sz w:val="18"/>
                <w:szCs w:val="18"/>
              </w:rPr>
              <w:t xml:space="preserve">         СВЕДЕНИЯ О НАЧАЛЕ (ЗАВЕРШЕНИИ) ЭМИССИИ И (ИЛИ) ЭКВАЙРИНГА</w:t>
            </w:r>
          </w:p>
          <w:p w14:paraId="62305927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8"/>
                <w:szCs w:val="18"/>
              </w:rPr>
            </w:pPr>
            <w:r w:rsidRPr="00841EEC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</w:t>
            </w:r>
            <w:r w:rsidRPr="00841EEC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ПЛАТЕЖНЫХ КАРТ</w:t>
            </w:r>
          </w:p>
          <w:p w14:paraId="73D90EF2" w14:textId="77777777" w:rsidR="00841EEC" w:rsidRPr="00CB19E3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91F5BB0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841EE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730D5FDA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841EE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841EE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63232421" w14:textId="77777777" w:rsidR="00841EEC" w:rsidRPr="00CB19E3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62E0298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0409255</w:t>
            </w:r>
          </w:p>
          <w:p w14:paraId="3E265DAE" w14:textId="77777777" w:rsidR="00841EEC" w:rsidRPr="00CB19E3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0E4BB98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41EEC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На нерегулярной основе</w:t>
            </w:r>
          </w:p>
        </w:tc>
        <w:tc>
          <w:tcPr>
            <w:tcW w:w="7597" w:type="dxa"/>
          </w:tcPr>
          <w:p w14:paraId="41FD98D3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5"/>
              <w:gridCol w:w="1507"/>
              <w:gridCol w:w="980"/>
              <w:gridCol w:w="2449"/>
            </w:tblGrid>
            <w:tr w:rsidR="00841EEC" w14:paraId="05A520DD" w14:textId="77777777" w:rsidTr="001939C6">
              <w:tc>
                <w:tcPr>
                  <w:tcW w:w="7381" w:type="dxa"/>
                  <w:gridSpan w:val="4"/>
                </w:tcPr>
                <w:p w14:paraId="38DCB1F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841EEC" w14:paraId="2EE91BDC" w14:textId="77777777" w:rsidTr="001939C6">
              <w:tc>
                <w:tcPr>
                  <w:tcW w:w="2445" w:type="dxa"/>
                  <w:vMerge w:val="restart"/>
                  <w:tcBorders>
                    <w:right w:val="single" w:sz="4" w:space="0" w:color="auto"/>
                  </w:tcBorders>
                </w:tcPr>
                <w:p w14:paraId="2AEA6B9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F621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3EAF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841EEC" w14:paraId="668956EA" w14:textId="77777777" w:rsidTr="001939C6">
              <w:tc>
                <w:tcPr>
                  <w:tcW w:w="2445" w:type="dxa"/>
                  <w:vMerge/>
                  <w:tcBorders>
                    <w:right w:val="single" w:sz="4" w:space="0" w:color="auto"/>
                  </w:tcBorders>
                </w:tcPr>
                <w:p w14:paraId="3FDE8796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455F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2C1B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E734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841EEC" w14:paraId="626B3C27" w14:textId="77777777" w:rsidTr="001939C6">
              <w:tc>
                <w:tcPr>
                  <w:tcW w:w="2445" w:type="dxa"/>
                  <w:tcBorders>
                    <w:right w:val="single" w:sz="4" w:space="0" w:color="auto"/>
                  </w:tcBorders>
                </w:tcPr>
                <w:p w14:paraId="3DD82CF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1F76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C943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CAF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6EF81E7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07"/>
            </w:tblGrid>
            <w:tr w:rsidR="00841EEC" w14:paraId="72728C41" w14:textId="77777777" w:rsidTr="001939C6">
              <w:tc>
                <w:tcPr>
                  <w:tcW w:w="7348" w:type="dxa"/>
                  <w:gridSpan w:val="2"/>
                  <w:vAlign w:val="center"/>
                </w:tcPr>
                <w:p w14:paraId="6D575DAC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</w:t>
                  </w:r>
                </w:p>
                <w:p w14:paraId="4BB178C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 НАЧАЛЕ (ЗАВЕРШЕНИИ) ЭМИССИИ И (ИЛИ) ЭКВАЙРИНГА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ЭЛЕКТРОННЫХ СРЕДСТВ ПЛАТЕЖА</w:t>
                  </w:r>
                </w:p>
              </w:tc>
            </w:tr>
            <w:tr w:rsidR="00841EEC" w14:paraId="42254EAD" w14:textId="77777777" w:rsidTr="001939C6">
              <w:tc>
                <w:tcPr>
                  <w:tcW w:w="5641" w:type="dxa"/>
                  <w:vAlign w:val="bottom"/>
                </w:tcPr>
                <w:p w14:paraId="2F7B9B6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07" w:type="dxa"/>
                  <w:tcBorders>
                    <w:bottom w:val="single" w:sz="4" w:space="0" w:color="auto"/>
                  </w:tcBorders>
                </w:tcPr>
                <w:p w14:paraId="340515E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1EEC" w14:paraId="64F1A413" w14:textId="77777777" w:rsidTr="001939C6">
              <w:tc>
                <w:tcPr>
                  <w:tcW w:w="7348" w:type="dxa"/>
                  <w:gridSpan w:val="2"/>
                </w:tcPr>
                <w:p w14:paraId="2C4818F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841EEC" w14:paraId="4A27A0E6" w14:textId="77777777" w:rsidTr="001939C6">
              <w:tc>
                <w:tcPr>
                  <w:tcW w:w="7348" w:type="dxa"/>
                  <w:gridSpan w:val="2"/>
                  <w:vAlign w:val="bottom"/>
                </w:tcPr>
                <w:p w14:paraId="2530548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0409255</w:t>
                  </w:r>
                </w:p>
              </w:tc>
            </w:tr>
            <w:tr w:rsidR="00841EEC" w14:paraId="5CD6B29E" w14:textId="77777777" w:rsidTr="001939C6">
              <w:tc>
                <w:tcPr>
                  <w:tcW w:w="7348" w:type="dxa"/>
                  <w:gridSpan w:val="2"/>
                </w:tcPr>
                <w:p w14:paraId="6D5479EF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нерегулярной основе</w:t>
                  </w:r>
                </w:p>
              </w:tc>
            </w:tr>
          </w:tbl>
          <w:p w14:paraId="338F4DB6" w14:textId="77777777" w:rsidR="00841EEC" w:rsidRDefault="00841EEC" w:rsidP="00841EEC">
            <w:pPr>
              <w:spacing w:after="1" w:line="200" w:lineRule="atLeast"/>
              <w:jc w:val="both"/>
            </w:pPr>
          </w:p>
        </w:tc>
      </w:tr>
      <w:tr w:rsidR="00841EEC" w14:paraId="4BBE87AB" w14:textId="77777777" w:rsidTr="00B23521">
        <w:tc>
          <w:tcPr>
            <w:tcW w:w="7597" w:type="dxa"/>
          </w:tcPr>
          <w:p w14:paraId="26A46D39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"/>
              <w:gridCol w:w="427"/>
              <w:gridCol w:w="533"/>
              <w:gridCol w:w="427"/>
              <w:gridCol w:w="427"/>
              <w:gridCol w:w="594"/>
              <w:gridCol w:w="590"/>
              <w:gridCol w:w="462"/>
              <w:gridCol w:w="640"/>
              <w:gridCol w:w="440"/>
              <w:gridCol w:w="378"/>
              <w:gridCol w:w="428"/>
              <w:gridCol w:w="427"/>
              <w:gridCol w:w="427"/>
              <w:gridCol w:w="427"/>
              <w:gridCol w:w="427"/>
            </w:tblGrid>
            <w:tr w:rsidR="00841EEC" w14:paraId="06671D75" w14:textId="77777777" w:rsidTr="001939C6"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E6D9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4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BCB8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Дата формирования строки</w:t>
                  </w:r>
                </w:p>
              </w:tc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6A6ED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Вид деятельности кредитной организации</w:t>
                  </w:r>
                </w:p>
              </w:tc>
              <w:tc>
                <w:tcPr>
                  <w:tcW w:w="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EA1E5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Платежная система </w:t>
                  </w: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 использованием карт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5B931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Дата начала деятельности</w:t>
                  </w:r>
                </w:p>
              </w:tc>
              <w:tc>
                <w:tcPr>
                  <w:tcW w:w="5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E4EF6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Дата завершения деятельности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1C1E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Тип платежной системы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B8230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Статус кредитной организации </w:t>
                  </w: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 платежной системе</w:t>
                  </w:r>
                </w:p>
              </w:tc>
              <w:tc>
                <w:tcPr>
                  <w:tcW w:w="1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E5CBC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Расчетная организация</w:t>
                  </w:r>
                </w:p>
              </w:tc>
              <w:tc>
                <w:tcPr>
                  <w:tcW w:w="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83DFD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Вид </w:t>
                  </w: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карты</w:t>
                  </w:r>
                </w:p>
              </w:tc>
              <w:tc>
                <w:tcPr>
                  <w:tcW w:w="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ED465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Совмещена</w:t>
                  </w: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 с другой платежной системой</w:t>
                  </w:r>
                </w:p>
              </w:tc>
            </w:tr>
            <w:tr w:rsidR="00841EEC" w14:paraId="2138BB61" w14:textId="77777777" w:rsidTr="001939C6"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1C13C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E953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9D66B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3825D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условный</w:t>
                  </w: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 код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0C2C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5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8940F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4AD08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04D8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97DA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367AE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статус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D3DC0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6C9CA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1876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условный</w:t>
                  </w: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 код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F24AF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F21CA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условный</w:t>
                  </w:r>
                  <w:r w:rsidRPr="00841EEC">
                    <w:rPr>
                      <w:rFonts w:cs="Arial"/>
                      <w:sz w:val="16"/>
                      <w:szCs w:val="16"/>
                    </w:rPr>
                    <w:t xml:space="preserve"> код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048E1" w14:textId="77777777" w:rsidR="00841EEC" w:rsidRP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41EEC">
                    <w:rPr>
                      <w:rFonts w:cs="Arial"/>
                      <w:sz w:val="16"/>
                      <w:szCs w:val="16"/>
                    </w:rPr>
                    <w:t>наименование</w:t>
                  </w:r>
                </w:p>
              </w:tc>
            </w:tr>
            <w:tr w:rsidR="00841EEC" w14:paraId="1A7DE235" w14:textId="77777777" w:rsidTr="001939C6"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93156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6737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8005C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28D6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6B8C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B76E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D84E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FD3C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D496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687E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98B4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015A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A933C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F452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CD9C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CE1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</w:tr>
            <w:tr w:rsidR="00841EEC" w14:paraId="6127C8D2" w14:textId="77777777" w:rsidTr="001939C6"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BD84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5118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696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1E26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7234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0DB2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4D70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9787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02A8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D469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9700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CD68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FB6AA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F709F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06DF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6528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E5015B3" w14:textId="77777777" w:rsidR="00841EEC" w:rsidRDefault="00841EEC" w:rsidP="00841EE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15D6611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879"/>
              <w:gridCol w:w="1134"/>
              <w:gridCol w:w="567"/>
              <w:gridCol w:w="1560"/>
              <w:gridCol w:w="647"/>
              <w:gridCol w:w="875"/>
              <w:gridCol w:w="1197"/>
            </w:tblGrid>
            <w:tr w:rsidR="00841EEC" w14:paraId="7C74718B" w14:textId="77777777" w:rsidTr="001939C6"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858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D30F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формирования строки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B424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деятельности кредитной организации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B590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Платежная система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(товарный знак) ЭСП</w:t>
                  </w:r>
                </w:p>
              </w:tc>
              <w:tc>
                <w:tcPr>
                  <w:tcW w:w="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2CE8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начала деятельности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4C56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завершения деятельности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2438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Тип платежной системы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(товарного знака)</w:t>
                  </w:r>
                </w:p>
              </w:tc>
            </w:tr>
            <w:tr w:rsidR="00841EEC" w14:paraId="1AC2A004" w14:textId="77777777" w:rsidTr="001939C6">
              <w:tc>
                <w:tcPr>
                  <w:tcW w:w="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4DF0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BE66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3E53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D9ED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5D7F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(обозначение)</w:t>
                  </w:r>
                </w:p>
              </w:tc>
              <w:tc>
                <w:tcPr>
                  <w:tcW w:w="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69E3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1607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F0BC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41EEC" w14:paraId="2663B3B7" w14:textId="77777777" w:rsidTr="001939C6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1761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685A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F4066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6851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81F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C1B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4586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1F1F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</w:tr>
            <w:tr w:rsidR="00841EEC" w14:paraId="77D83017" w14:textId="77777777" w:rsidTr="001939C6"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249F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BBA4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62F2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B51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910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7FF2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36E4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B6D9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BB9D452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83"/>
              <w:gridCol w:w="609"/>
              <w:gridCol w:w="555"/>
              <w:gridCol w:w="1113"/>
              <w:gridCol w:w="555"/>
              <w:gridCol w:w="996"/>
              <w:gridCol w:w="567"/>
              <w:gridCol w:w="1588"/>
            </w:tblGrid>
            <w:tr w:rsidR="00841EEC" w14:paraId="41C3C668" w14:textId="77777777" w:rsidTr="001939C6">
              <w:tc>
                <w:tcPr>
                  <w:tcW w:w="1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3324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Статус кредитной организации</w:t>
                  </w:r>
                </w:p>
              </w:tc>
              <w:tc>
                <w:tcPr>
                  <w:tcW w:w="22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C4AC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Расчетная организация</w:t>
                  </w: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43C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Вид 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ЭСП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469D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Совмещение</w:t>
                  </w:r>
                  <w:r>
                    <w:rPr>
                      <w:rFonts w:cs="Arial"/>
                      <w:szCs w:val="20"/>
                    </w:rPr>
                    <w:t xml:space="preserve"> с другой платежной системой</w:t>
                  </w:r>
                </w:p>
              </w:tc>
            </w:tr>
            <w:tr w:rsidR="00841EEC" w14:paraId="28766689" w14:textId="77777777" w:rsidTr="001939C6"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F67AA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9D1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статус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DF1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D42E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B71F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F6AB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ED15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1DA09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</w:tr>
            <w:tr w:rsidR="00841EEC" w14:paraId="4E7A8061" w14:textId="77777777" w:rsidTr="001939C6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5263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77C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9090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1A9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7172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EAEA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3F23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1093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</w:tr>
            <w:tr w:rsidR="00841EEC" w14:paraId="724BE272" w14:textId="77777777" w:rsidTr="001939C6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F27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08D6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E672A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8848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234A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725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54F0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D532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43B231A" w14:textId="77777777" w:rsidR="00841EEC" w:rsidRDefault="00841EEC" w:rsidP="00841EEC">
            <w:pPr>
              <w:spacing w:after="1" w:line="200" w:lineRule="atLeast"/>
              <w:jc w:val="both"/>
            </w:pPr>
          </w:p>
        </w:tc>
      </w:tr>
      <w:tr w:rsidR="00841EEC" w14:paraId="01B3C6F2" w14:textId="77777777" w:rsidTr="00B23521">
        <w:tc>
          <w:tcPr>
            <w:tcW w:w="7597" w:type="dxa"/>
          </w:tcPr>
          <w:p w14:paraId="67678230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FA47D4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41EEC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CB19E3">
              <w:rPr>
                <w:rFonts w:ascii="Courier New" w:hAnsi="Courier New" w:cs="Courier New"/>
              </w:rPr>
              <w:t xml:space="preserve">                  (</w:t>
            </w:r>
            <w:r w:rsidRPr="00841EEC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CB19E3">
              <w:rPr>
                <w:rFonts w:ascii="Courier New" w:hAnsi="Courier New" w:cs="Courier New"/>
              </w:rPr>
              <w:t>)</w:t>
            </w:r>
          </w:p>
        </w:tc>
        <w:tc>
          <w:tcPr>
            <w:tcW w:w="7597" w:type="dxa"/>
          </w:tcPr>
          <w:p w14:paraId="04A24212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98"/>
              <w:gridCol w:w="284"/>
              <w:gridCol w:w="1134"/>
              <w:gridCol w:w="286"/>
              <w:gridCol w:w="2580"/>
            </w:tblGrid>
            <w:tr w:rsidR="00841EEC" w14:paraId="4C6DBC9D" w14:textId="77777777" w:rsidTr="001939C6">
              <w:tc>
                <w:tcPr>
                  <w:tcW w:w="3098" w:type="dxa"/>
                  <w:tcBorders>
                    <w:bottom w:val="single" w:sz="4" w:space="0" w:color="auto"/>
                  </w:tcBorders>
                  <w:vAlign w:val="bottom"/>
                </w:tcPr>
                <w:p w14:paraId="5FCD6CE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4" w:type="dxa"/>
                </w:tcPr>
                <w:p w14:paraId="66D7B4E1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7C430935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6" w:type="dxa"/>
                </w:tcPr>
                <w:p w14:paraId="32C51E8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14:paraId="4F32016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1EEC" w14:paraId="7FEF627F" w14:textId="77777777" w:rsidTr="001939C6">
              <w:tc>
                <w:tcPr>
                  <w:tcW w:w="3098" w:type="dxa"/>
                  <w:tcBorders>
                    <w:top w:val="single" w:sz="4" w:space="0" w:color="auto"/>
                  </w:tcBorders>
                </w:tcPr>
                <w:p w14:paraId="28E9C33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2AF27882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3305EC2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6" w:type="dxa"/>
                </w:tcPr>
                <w:p w14:paraId="0541F86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</w:tcBorders>
                </w:tcPr>
                <w:p w14:paraId="4EE3458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1DA29827" w14:textId="77777777" w:rsidR="00841EEC" w:rsidRDefault="00841EEC" w:rsidP="00841EEC">
            <w:pPr>
              <w:spacing w:after="1" w:line="200" w:lineRule="atLeast"/>
              <w:jc w:val="both"/>
            </w:pPr>
          </w:p>
        </w:tc>
      </w:tr>
      <w:tr w:rsidR="00841EEC" w14:paraId="0048DEA7" w14:textId="77777777" w:rsidTr="00B23521">
        <w:tc>
          <w:tcPr>
            <w:tcW w:w="7597" w:type="dxa"/>
          </w:tcPr>
          <w:p w14:paraId="68E3DCEC" w14:textId="77777777" w:rsidR="00841EEC" w:rsidRPr="00841EEC" w:rsidRDefault="00841EEC" w:rsidP="00841EEC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89F2D9F" w14:textId="77777777" w:rsidR="00841EEC" w:rsidRPr="00CB19E3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B19E3">
              <w:rPr>
                <w:rFonts w:ascii="Courier New" w:hAnsi="Courier New" w:cs="Courier New"/>
              </w:rPr>
              <w:t>Исполнитель                   (</w:t>
            </w:r>
            <w:r w:rsidRPr="00841EEC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CB19E3">
              <w:rPr>
                <w:rFonts w:ascii="Courier New" w:hAnsi="Courier New" w:cs="Courier New"/>
              </w:rPr>
              <w:t>)</w:t>
            </w:r>
          </w:p>
          <w:p w14:paraId="5DA5D5BF" w14:textId="77777777" w:rsidR="00841EEC" w:rsidRPr="00CB19E3" w:rsidRDefault="00841EEC" w:rsidP="00841EE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B19E3">
              <w:rPr>
                <w:rFonts w:ascii="Courier New" w:hAnsi="Courier New" w:cs="Courier New"/>
              </w:rPr>
              <w:t>Телефон:</w:t>
            </w:r>
          </w:p>
          <w:p w14:paraId="3E05E7F0" w14:textId="77777777" w:rsidR="00841EEC" w:rsidRPr="00841EEC" w:rsidRDefault="00841EEC" w:rsidP="00B2352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CB19E3">
              <w:rPr>
                <w:rFonts w:ascii="Courier New" w:hAnsi="Courier New" w:cs="Courier New"/>
              </w:rPr>
              <w:t>"__" ________ ____ г.</w:t>
            </w:r>
          </w:p>
        </w:tc>
        <w:tc>
          <w:tcPr>
            <w:tcW w:w="7597" w:type="dxa"/>
          </w:tcPr>
          <w:p w14:paraId="039FBD14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53"/>
              <w:gridCol w:w="340"/>
              <w:gridCol w:w="5839"/>
            </w:tblGrid>
            <w:tr w:rsidR="00841EEC" w14:paraId="638F6894" w14:textId="77777777" w:rsidTr="001939C6">
              <w:tc>
                <w:tcPr>
                  <w:tcW w:w="1653" w:type="dxa"/>
                  <w:vAlign w:val="bottom"/>
                </w:tcPr>
                <w:p w14:paraId="2225686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40" w:type="dxa"/>
                </w:tcPr>
                <w:p w14:paraId="102323D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39" w:type="dxa"/>
                  <w:tcBorders>
                    <w:bottom w:val="single" w:sz="4" w:space="0" w:color="auto"/>
                  </w:tcBorders>
                  <w:vAlign w:val="bottom"/>
                </w:tcPr>
                <w:p w14:paraId="2F22C294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41EEC" w14:paraId="08A97E00" w14:textId="77777777" w:rsidTr="001939C6">
              <w:tc>
                <w:tcPr>
                  <w:tcW w:w="1653" w:type="dxa"/>
                </w:tcPr>
                <w:p w14:paraId="0FABD42E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F79717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</w:tcBorders>
                </w:tcPr>
                <w:p w14:paraId="2E6C37E8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841EEC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841EEC" w14:paraId="7FC107CD" w14:textId="77777777" w:rsidTr="001939C6">
              <w:tc>
                <w:tcPr>
                  <w:tcW w:w="7832" w:type="dxa"/>
                  <w:gridSpan w:val="3"/>
                </w:tcPr>
                <w:p w14:paraId="69537ABF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4298ECCB" w14:textId="77777777" w:rsidR="00841EEC" w:rsidRDefault="00841EEC" w:rsidP="00841EE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"__" _____________ ____ г.</w:t>
                  </w:r>
                </w:p>
              </w:tc>
            </w:tr>
          </w:tbl>
          <w:p w14:paraId="2B553E6E" w14:textId="77777777" w:rsidR="00841EEC" w:rsidRDefault="00841EEC">
            <w:pPr>
              <w:spacing w:after="1" w:line="200" w:lineRule="atLeast"/>
              <w:jc w:val="both"/>
            </w:pPr>
          </w:p>
        </w:tc>
      </w:tr>
      <w:tr w:rsidR="00841EEC" w14:paraId="7C66E500" w14:textId="77777777" w:rsidTr="00B23521">
        <w:tc>
          <w:tcPr>
            <w:tcW w:w="7597" w:type="dxa"/>
          </w:tcPr>
          <w:p w14:paraId="0692543C" w14:textId="77777777" w:rsidR="00841EEC" w:rsidRDefault="00841EEC" w:rsidP="00841EE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6B631AE" w14:textId="77777777" w:rsidR="00841EEC" w:rsidRDefault="00841EEC" w:rsidP="00841EEC">
            <w:pPr>
              <w:spacing w:after="1" w:line="200" w:lineRule="atLeast"/>
              <w:ind w:firstLine="539"/>
              <w:jc w:val="both"/>
            </w:pPr>
          </w:p>
          <w:p w14:paraId="069CA4AF" w14:textId="77777777" w:rsidR="00841EEC" w:rsidRDefault="00841EEC" w:rsidP="00841EEC">
            <w:pPr>
              <w:spacing w:after="1" w:line="200" w:lineRule="atLeast"/>
              <w:ind w:firstLine="539"/>
              <w:jc w:val="both"/>
            </w:pPr>
            <w:r w:rsidRPr="00841EEC">
              <w:rPr>
                <w:shd w:val="clear" w:color="auto" w:fill="C0C0C0"/>
              </w:rPr>
              <w:t>--------------------------------</w:t>
            </w:r>
          </w:p>
          <w:p w14:paraId="4266914F" w14:textId="77777777" w:rsidR="00841EEC" w:rsidRDefault="00841EEC" w:rsidP="00841EEC">
            <w:pPr>
              <w:spacing w:before="200" w:after="1" w:line="200" w:lineRule="atLeast"/>
              <w:ind w:firstLine="539"/>
              <w:jc w:val="both"/>
            </w:pPr>
            <w:r w:rsidRPr="00841EEC">
              <w:rPr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73E16554" w14:textId="77777777" w:rsidR="00841EEC" w:rsidRPr="00841EEC" w:rsidRDefault="00841EEC" w:rsidP="00841EEC">
            <w:pPr>
              <w:spacing w:before="200" w:after="1" w:line="200" w:lineRule="atLeast"/>
              <w:ind w:firstLine="539"/>
              <w:jc w:val="both"/>
              <w:rPr>
                <w:shd w:val="clear" w:color="auto" w:fill="C0C0C0"/>
              </w:rPr>
            </w:pPr>
            <w:r w:rsidRPr="00841EEC">
              <w:rPr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28F93B5B" w14:textId="77777777" w:rsidR="00841EEC" w:rsidRDefault="00841EEC" w:rsidP="00841EEC">
            <w:pPr>
              <w:spacing w:before="200" w:after="1" w:line="200" w:lineRule="atLeast"/>
              <w:ind w:firstLine="539"/>
              <w:jc w:val="both"/>
            </w:pPr>
            <w:r w:rsidRPr="00841EEC">
              <w:rPr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841EEC" w14:paraId="674BC897" w14:textId="77777777" w:rsidTr="00B23521">
        <w:tc>
          <w:tcPr>
            <w:tcW w:w="7597" w:type="dxa"/>
          </w:tcPr>
          <w:p w14:paraId="126C3421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C1884AB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33A6742E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0409255</w:t>
            </w:r>
          </w:p>
          <w:p w14:paraId="13C3DD4F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начале (завершении) эмиссии и (или) эквайринга</w:t>
            </w:r>
          </w:p>
          <w:p w14:paraId="5C0DD5F2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8525E">
              <w:rPr>
                <w:rFonts w:cs="Arial"/>
                <w:strike/>
                <w:color w:val="FF0000"/>
                <w:szCs w:val="20"/>
              </w:rPr>
              <w:t>платежных карт</w:t>
            </w:r>
            <w:r>
              <w:rPr>
                <w:rFonts w:cs="Arial"/>
                <w:szCs w:val="20"/>
              </w:rPr>
              <w:t>"</w:t>
            </w:r>
          </w:p>
          <w:p w14:paraId="19D5923D" w14:textId="77777777" w:rsidR="00841EEC" w:rsidRDefault="00841EEC" w:rsidP="00841EEC">
            <w:pPr>
              <w:spacing w:after="1" w:line="200" w:lineRule="atLeast"/>
              <w:jc w:val="both"/>
            </w:pPr>
          </w:p>
          <w:p w14:paraId="3157E229" w14:textId="77777777" w:rsidR="00841EEC" w:rsidRDefault="00C8525E" w:rsidP="00C8525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Кредитная организация представляет отчетность по форме 0409255 "Сведения о начале (завершении) эмиссии и (или) эквайринга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" (далее - Отчет) в Банк России не позднее 12 рабочих дней со дня начала (завершения) эмиссии и (или) эквайринга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или изменения сведений, указанных в ранее присланных </w:t>
            </w:r>
            <w:r>
              <w:rPr>
                <w:rFonts w:cs="Arial"/>
                <w:strike/>
                <w:color w:val="FF0000"/>
              </w:rPr>
              <w:t>отчетах</w:t>
            </w:r>
            <w:r w:rsidRPr="00C8525E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38C1AFC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0F3F218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299B2D34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0409255</w:t>
            </w:r>
          </w:p>
          <w:p w14:paraId="4121FD5B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 начале (завершении) эмиссии и (или) эквайринга</w:t>
            </w:r>
          </w:p>
          <w:p w14:paraId="50016CC1" w14:textId="77777777" w:rsidR="00841EEC" w:rsidRDefault="00841EEC" w:rsidP="00841EE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C8525E">
              <w:rPr>
                <w:rFonts w:cs="Arial"/>
                <w:szCs w:val="20"/>
                <w:shd w:val="clear" w:color="auto" w:fill="C0C0C0"/>
              </w:rPr>
              <w:t>электронных средств платежа</w:t>
            </w:r>
            <w:r>
              <w:rPr>
                <w:rFonts w:cs="Arial"/>
                <w:szCs w:val="20"/>
              </w:rPr>
              <w:t>"</w:t>
            </w:r>
          </w:p>
          <w:p w14:paraId="61B5FE6E" w14:textId="77777777" w:rsidR="00841EEC" w:rsidRDefault="00841EEC" w:rsidP="00841EEC">
            <w:pPr>
              <w:spacing w:after="1" w:line="200" w:lineRule="atLeast"/>
              <w:jc w:val="both"/>
            </w:pPr>
          </w:p>
          <w:p w14:paraId="1DEEA565" w14:textId="77777777" w:rsidR="00841EEC" w:rsidRDefault="00C8525E" w:rsidP="00C8525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Кредитная организация представляет отчетность по форме 0409255 "Сведения о начале (завершении) эмиссии и (или) эквайринга </w:t>
            </w:r>
            <w:r>
              <w:rPr>
                <w:rFonts w:cs="Arial"/>
                <w:shd w:val="clear" w:color="auto" w:fill="C0C0C0"/>
              </w:rPr>
              <w:t>электронных средств платежа</w:t>
            </w:r>
            <w:r>
              <w:rPr>
                <w:rFonts w:cs="Arial"/>
              </w:rPr>
              <w:t xml:space="preserve">" (далее - Отчет) в Банк России не позднее 12 рабочих дней со дня начала (завершения) эмиссии и (или) эквайринга </w:t>
            </w:r>
            <w:r>
              <w:rPr>
                <w:rFonts w:cs="Arial"/>
                <w:shd w:val="clear" w:color="auto" w:fill="C0C0C0"/>
              </w:rPr>
              <w:t>электронных средств платежа (далее - ЭСП)</w:t>
            </w:r>
            <w:r>
              <w:rPr>
                <w:rFonts w:cs="Arial"/>
              </w:rPr>
              <w:t xml:space="preserve"> или изменения сведений, указанных в ранее присланных </w:t>
            </w:r>
            <w:r>
              <w:rPr>
                <w:rFonts w:cs="Arial"/>
                <w:shd w:val="clear" w:color="auto" w:fill="C0C0C0"/>
              </w:rPr>
              <w:t>Отчетах</w:t>
            </w:r>
            <w:r w:rsidRPr="00C8525E">
              <w:rPr>
                <w:rFonts w:cs="Arial"/>
              </w:rPr>
              <w:t>.</w:t>
            </w:r>
          </w:p>
        </w:tc>
      </w:tr>
      <w:tr w:rsidR="00841EEC" w14:paraId="4E97FA1D" w14:textId="77777777" w:rsidTr="00B23521">
        <w:tc>
          <w:tcPr>
            <w:tcW w:w="7597" w:type="dxa"/>
          </w:tcPr>
          <w:p w14:paraId="615B2BD6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В Отчет кредитной организации </w:t>
            </w:r>
            <w:r>
              <w:rPr>
                <w:rFonts w:cs="Arial"/>
                <w:strike/>
                <w:color w:val="FF0000"/>
              </w:rPr>
              <w:t>должны быть включены</w:t>
            </w:r>
            <w:r>
              <w:rPr>
                <w:rFonts w:cs="Arial"/>
              </w:rPr>
              <w:t xml:space="preserve"> сводные сведения о деятельности головного офиса кредитной организации и ее филиалов, связанной:</w:t>
            </w:r>
          </w:p>
          <w:p w14:paraId="01AD8890" w14:textId="77777777" w:rsidR="00841EEC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 эмиссией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 w:rsidRPr="00C8525E"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предоплаченных карт,</w:t>
            </w:r>
            <w:r>
              <w:rPr>
                <w:rFonts w:cs="Arial"/>
              </w:rPr>
              <w:t xml:space="preserve"> расчетных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кредитных карт</w:t>
            </w:r>
            <w:r w:rsidRPr="00C8525E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95CAB4A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В Отчет кредитной организации </w:t>
            </w:r>
            <w:r>
              <w:rPr>
                <w:rFonts w:cs="Arial"/>
                <w:shd w:val="clear" w:color="auto" w:fill="C0C0C0"/>
              </w:rPr>
              <w:t>включаются</w:t>
            </w:r>
            <w:r>
              <w:rPr>
                <w:rFonts w:cs="Arial"/>
              </w:rPr>
              <w:t xml:space="preserve"> сводные сведения о деятельности головного офиса кредитной организации и ее филиалов, связанной:</w:t>
            </w:r>
          </w:p>
          <w:p w14:paraId="732431D0" w14:textId="77777777" w:rsidR="00841EEC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 эмиссией </w:t>
            </w:r>
            <w:r>
              <w:rPr>
                <w:rFonts w:cs="Arial"/>
                <w:shd w:val="clear" w:color="auto" w:fill="C0C0C0"/>
              </w:rPr>
              <w:t>ЭСП</w:t>
            </w:r>
            <w:r w:rsidRPr="00C8525E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 xml:space="preserve">расчетных </w:t>
            </w:r>
            <w:r>
              <w:rPr>
                <w:rFonts w:cs="Arial"/>
                <w:shd w:val="clear" w:color="auto" w:fill="C0C0C0"/>
              </w:rPr>
              <w:t>(дебетовых) карт,</w:t>
            </w:r>
            <w:r>
              <w:rPr>
                <w:rFonts w:cs="Arial"/>
              </w:rPr>
              <w:t xml:space="preserve"> кредитных карт</w:t>
            </w:r>
            <w:r>
              <w:rPr>
                <w:rFonts w:cs="Arial"/>
                <w:shd w:val="clear" w:color="auto" w:fill="C0C0C0"/>
              </w:rPr>
              <w:t>, ЭСП для перевода электронных денежных средств (далее - ЭДС) (</w:t>
            </w:r>
            <w:r w:rsidRPr="00C8525E">
              <w:rPr>
                <w:rFonts w:cs="Arial"/>
                <w:shd w:val="clear" w:color="auto" w:fill="C0C0C0"/>
              </w:rPr>
              <w:t xml:space="preserve">предоплаченных карт, </w:t>
            </w:r>
            <w:r>
              <w:rPr>
                <w:rFonts w:cs="Arial"/>
                <w:shd w:val="clear" w:color="auto" w:fill="C0C0C0"/>
              </w:rPr>
              <w:t>ЭСП для перевода ЭДС, отличных от предоплаченных карт (далее - электронные кошельки)</w:t>
            </w:r>
            <w:r w:rsidRPr="00C8525E">
              <w:rPr>
                <w:rFonts w:cs="Arial"/>
              </w:rPr>
              <w:t>;</w:t>
            </w:r>
          </w:p>
        </w:tc>
      </w:tr>
      <w:tr w:rsidR="00841EEC" w14:paraId="7CAE44F7" w14:textId="77777777" w:rsidTr="00B23521">
        <w:tc>
          <w:tcPr>
            <w:tcW w:w="7597" w:type="dxa"/>
          </w:tcPr>
          <w:p w14:paraId="3763069F" w14:textId="77777777" w:rsidR="00841EEC" w:rsidRDefault="00C8525E" w:rsidP="00C8525E">
            <w:pPr>
              <w:spacing w:before="200" w:after="1" w:line="200" w:lineRule="atLeast"/>
              <w:ind w:firstLine="539"/>
              <w:jc w:val="both"/>
            </w:pPr>
            <w:r w:rsidRPr="00C8525E">
              <w:rPr>
                <w:rFonts w:cs="Arial"/>
              </w:rPr>
              <w:t xml:space="preserve">с эквайрингом </w:t>
            </w:r>
            <w:r>
              <w:rPr>
                <w:rFonts w:cs="Arial"/>
                <w:strike/>
                <w:color w:val="FF0000"/>
              </w:rPr>
              <w:t>платежных карт -</w:t>
            </w:r>
            <w:r w:rsidRPr="00C8525E">
              <w:rPr>
                <w:rFonts w:cs="Arial"/>
                <w:strike/>
                <w:color w:val="FF0000"/>
              </w:rPr>
              <w:t xml:space="preserve"> предоплаченных карт, </w:t>
            </w:r>
            <w:r>
              <w:rPr>
                <w:rFonts w:cs="Arial"/>
                <w:strike/>
                <w:color w:val="FF0000"/>
              </w:rPr>
              <w:t>расчетных карт, кредитных карт и карт</w:t>
            </w:r>
            <w:r>
              <w:rPr>
                <w:rFonts w:cs="Arial"/>
              </w:rPr>
              <w:t xml:space="preserve">, эмитированных </w:t>
            </w:r>
            <w:r>
              <w:rPr>
                <w:rFonts w:cs="Arial"/>
                <w:strike/>
                <w:color w:val="FF0000"/>
              </w:rPr>
              <w:t>организациями, не являющимися</w:t>
            </w:r>
            <w:r>
              <w:rPr>
                <w:rFonts w:cs="Arial"/>
              </w:rPr>
              <w:t xml:space="preserve"> кредитными организациями </w:t>
            </w:r>
            <w:r>
              <w:rPr>
                <w:rFonts w:cs="Arial"/>
                <w:strike/>
                <w:color w:val="FF0000"/>
              </w:rPr>
              <w:t>(например, Американ Экспресс (</w:t>
            </w:r>
            <w:proofErr w:type="spellStart"/>
            <w:r>
              <w:rPr>
                <w:rFonts w:cs="Arial"/>
                <w:strike/>
                <w:color w:val="FF0000"/>
              </w:rPr>
              <w:t>American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</w:t>
            </w:r>
            <w:proofErr w:type="spellStart"/>
            <w:r>
              <w:rPr>
                <w:rFonts w:cs="Arial"/>
                <w:strike/>
                <w:color w:val="FF0000"/>
              </w:rPr>
              <w:t>Express</w:t>
            </w:r>
            <w:proofErr w:type="spellEnd"/>
            <w:r>
              <w:rPr>
                <w:rFonts w:cs="Arial"/>
                <w:strike/>
                <w:color w:val="FF0000"/>
              </w:rPr>
              <w:t>)</w:t>
            </w:r>
            <w:r w:rsidRPr="00C8525E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D01E4AA" w14:textId="77777777" w:rsidR="00841EEC" w:rsidRDefault="00C8525E" w:rsidP="00C8525E">
            <w:pPr>
              <w:spacing w:before="200" w:after="1" w:line="200" w:lineRule="atLeast"/>
              <w:ind w:firstLine="539"/>
              <w:jc w:val="both"/>
            </w:pPr>
            <w:r w:rsidRPr="00C8525E">
              <w:rPr>
                <w:rFonts w:cs="Arial"/>
              </w:rPr>
              <w:t xml:space="preserve">с эквайрингом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>, эмитированных кредитными организациями</w:t>
            </w:r>
            <w:r>
              <w:rPr>
                <w:rFonts w:cs="Arial"/>
                <w:shd w:val="clear" w:color="auto" w:fill="C0C0C0"/>
              </w:rPr>
              <w:t>, и карт, эмитированных</w:t>
            </w:r>
            <w:r w:rsidRPr="00C8525E">
              <w:rPr>
                <w:rFonts w:cs="Arial"/>
                <w:shd w:val="clear" w:color="auto" w:fill="C0C0C0"/>
              </w:rPr>
              <w:t xml:space="preserve"> организацией</w:t>
            </w:r>
            <w:r>
              <w:rPr>
                <w:rFonts w:cs="Arial"/>
                <w:shd w:val="clear" w:color="auto" w:fill="C0C0C0"/>
              </w:rPr>
              <w:t>, зарегистрированной за пределами территории Российской Федерации</w:t>
            </w:r>
            <w:r w:rsidRPr="00C8525E">
              <w:rPr>
                <w:rFonts w:cs="Arial"/>
              </w:rPr>
              <w:t>.</w:t>
            </w:r>
          </w:p>
        </w:tc>
      </w:tr>
      <w:tr w:rsidR="00C8525E" w14:paraId="1EC2A2D6" w14:textId="77777777" w:rsidTr="00B23521">
        <w:tc>
          <w:tcPr>
            <w:tcW w:w="7597" w:type="dxa"/>
          </w:tcPr>
          <w:p w14:paraId="4498B7A2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3. В случае если в кредитной организации, осуществляющей эмиссию платежных карт, остались только клиенты, у которых срок действия выданных этой кредитной</w:t>
            </w:r>
            <w:r w:rsidRPr="00C8525E">
              <w:rPr>
                <w:rFonts w:cs="Arial"/>
                <w:strike/>
                <w:color w:val="FF0000"/>
              </w:rPr>
              <w:t xml:space="preserve"> организацией </w:t>
            </w:r>
            <w:r>
              <w:rPr>
                <w:rFonts w:cs="Arial"/>
                <w:strike/>
                <w:color w:val="FF0000"/>
              </w:rPr>
              <w:t>расчетных или кредитных карт истек, и повторный выпуск указанных карт не планируется или в течение года не был произведен, а договоры с указанными клиентами не расторгнуты, данная кредитная</w:t>
            </w:r>
            <w:r w:rsidRPr="00C8525E">
              <w:rPr>
                <w:rFonts w:cs="Arial"/>
                <w:strike/>
                <w:color w:val="FF0000"/>
              </w:rPr>
              <w:t xml:space="preserve"> организация </w:t>
            </w:r>
            <w:r>
              <w:rPr>
                <w:rFonts w:cs="Arial"/>
                <w:strike/>
                <w:color w:val="FF0000"/>
              </w:rPr>
              <w:t>должна прислать Отчет о завершении эмиссии таких карт в этой платежной системе. При этом датой завершения эмиссии является дата окончания срока действия последней выданной этой кредитной организацией расчетной или кредитной карты.</w:t>
            </w:r>
          </w:p>
        </w:tc>
        <w:tc>
          <w:tcPr>
            <w:tcW w:w="7597" w:type="dxa"/>
          </w:tcPr>
          <w:p w14:paraId="31C99E17" w14:textId="77777777" w:rsidR="00C8525E" w:rsidRDefault="00C8525E" w:rsidP="00C8525E">
            <w:pPr>
              <w:spacing w:after="1" w:line="200" w:lineRule="atLeast"/>
              <w:jc w:val="both"/>
            </w:pPr>
          </w:p>
        </w:tc>
      </w:tr>
      <w:tr w:rsidR="00C8525E" w14:paraId="1E4B8D03" w14:textId="77777777" w:rsidTr="00B23521">
        <w:tc>
          <w:tcPr>
            <w:tcW w:w="7597" w:type="dxa"/>
          </w:tcPr>
          <w:p w14:paraId="2BEDB459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При выявлении</w:t>
            </w:r>
            <w:r>
              <w:rPr>
                <w:rFonts w:cs="Arial"/>
              </w:rPr>
              <w:t xml:space="preserve"> неправильного значения одного из показателей в ранее </w:t>
            </w:r>
            <w:r>
              <w:rPr>
                <w:rFonts w:cs="Arial"/>
                <w:strike/>
                <w:color w:val="FF0000"/>
              </w:rPr>
              <w:t>присланном</w:t>
            </w:r>
            <w:r w:rsidRPr="00C8525E">
              <w:rPr>
                <w:rFonts w:cs="Arial"/>
              </w:rPr>
              <w:t xml:space="preserve"> Отчете </w:t>
            </w:r>
            <w:r>
              <w:rPr>
                <w:rFonts w:cs="Arial"/>
                <w:strike/>
                <w:color w:val="FF0000"/>
              </w:rPr>
              <w:t>кредитная организация обязана в течение трех рабочих дней, следующих за днем выявления факта недостоверности представленной отчетности</w:t>
            </w:r>
            <w:r w:rsidRPr="00C8525E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направить</w:t>
            </w:r>
            <w:r>
              <w:rPr>
                <w:rFonts w:cs="Arial"/>
              </w:rPr>
              <w:t xml:space="preserve"> в Банк России Отчет, содержащий строку (строки) с исправленными значениями показателей.</w:t>
            </w:r>
          </w:p>
        </w:tc>
        <w:tc>
          <w:tcPr>
            <w:tcW w:w="7597" w:type="dxa"/>
          </w:tcPr>
          <w:p w14:paraId="592C948B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Кредитная</w:t>
            </w:r>
            <w:r w:rsidRPr="00C8525E">
              <w:rPr>
                <w:rFonts w:cs="Arial"/>
                <w:shd w:val="clear" w:color="auto" w:fill="C0C0C0"/>
              </w:rPr>
              <w:t xml:space="preserve"> организация </w:t>
            </w:r>
            <w:r>
              <w:rPr>
                <w:rFonts w:cs="Arial"/>
                <w:shd w:val="clear" w:color="auto" w:fill="C0C0C0"/>
              </w:rPr>
              <w:t>не позднее трех рабочих дней, следующих за днем выявления</w:t>
            </w:r>
            <w:r>
              <w:rPr>
                <w:rFonts w:cs="Arial"/>
              </w:rPr>
              <w:t xml:space="preserve"> неправильного значения одного из показателей в ранее </w:t>
            </w:r>
            <w:r>
              <w:rPr>
                <w:rFonts w:cs="Arial"/>
                <w:shd w:val="clear" w:color="auto" w:fill="C0C0C0"/>
              </w:rPr>
              <w:t>представленном ею</w:t>
            </w:r>
            <w:r w:rsidRPr="00C8525E">
              <w:rPr>
                <w:rFonts w:cs="Arial"/>
              </w:rPr>
              <w:t xml:space="preserve"> Отчете, </w:t>
            </w:r>
            <w:r>
              <w:rPr>
                <w:rFonts w:cs="Arial"/>
                <w:shd w:val="clear" w:color="auto" w:fill="C0C0C0"/>
              </w:rPr>
              <w:t>представляет</w:t>
            </w:r>
            <w:r>
              <w:rPr>
                <w:rFonts w:cs="Arial"/>
              </w:rPr>
              <w:t xml:space="preserve"> в Банк России Отчет, содержащий строку (строки) с исправленными значениями показателей.</w:t>
            </w:r>
          </w:p>
        </w:tc>
      </w:tr>
      <w:tr w:rsidR="00C8525E" w14:paraId="0B98A052" w14:textId="77777777" w:rsidTr="00B23521">
        <w:tc>
          <w:tcPr>
            <w:tcW w:w="7597" w:type="dxa"/>
          </w:tcPr>
          <w:p w14:paraId="536D70E0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Справочная</w:t>
            </w:r>
            <w:r>
              <w:rPr>
                <w:rFonts w:cs="Arial"/>
              </w:rPr>
              <w:t xml:space="preserve"> информация </w:t>
            </w:r>
            <w:r w:rsidRPr="00C8525E">
              <w:rPr>
                <w:rFonts w:cs="Arial"/>
              </w:rPr>
              <w:t xml:space="preserve">о </w:t>
            </w:r>
            <w:r>
              <w:rPr>
                <w:rFonts w:cs="Arial"/>
                <w:strike/>
                <w:color w:val="FF0000"/>
              </w:rPr>
              <w:t>кодах и наименованиях</w:t>
            </w:r>
            <w:r>
              <w:rPr>
                <w:rFonts w:cs="Arial"/>
              </w:rPr>
              <w:t xml:space="preserve"> платежных </w:t>
            </w:r>
            <w:r>
              <w:rPr>
                <w:rFonts w:cs="Arial"/>
                <w:strike/>
                <w:color w:val="FF0000"/>
              </w:rPr>
              <w:t>систем</w:t>
            </w:r>
            <w:r>
              <w:rPr>
                <w:rFonts w:cs="Arial"/>
              </w:rPr>
              <w:t xml:space="preserve"> с использованием платежных </w:t>
            </w:r>
            <w:r>
              <w:rPr>
                <w:rFonts w:cs="Arial"/>
                <w:strike/>
                <w:color w:val="FF0000"/>
              </w:rPr>
              <w:t>карт, о кодах и наименованиях</w:t>
            </w:r>
            <w:r>
              <w:rPr>
                <w:rFonts w:cs="Arial"/>
              </w:rPr>
              <w:t xml:space="preserve"> иностранных </w:t>
            </w:r>
            <w:r>
              <w:rPr>
                <w:rFonts w:cs="Arial"/>
                <w:strike/>
                <w:color w:val="FF0000"/>
              </w:rPr>
              <w:t>расчетных организаций,</w:t>
            </w:r>
            <w:r>
              <w:rPr>
                <w:rFonts w:cs="Arial"/>
              </w:rPr>
              <w:t xml:space="preserve"> видах </w:t>
            </w:r>
            <w:r>
              <w:rPr>
                <w:rFonts w:cs="Arial"/>
                <w:strike/>
                <w:color w:val="FF0000"/>
              </w:rPr>
              <w:t>платежных карт,</w:t>
            </w:r>
            <w:r>
              <w:rPr>
                <w:rFonts w:cs="Arial"/>
              </w:rPr>
              <w:t xml:space="preserve"> типах платежных систем передается в кредитные организации </w:t>
            </w:r>
            <w:r>
              <w:rPr>
                <w:rFonts w:cs="Arial"/>
                <w:strike/>
                <w:color w:val="FF0000"/>
              </w:rPr>
              <w:t>Банком России</w:t>
            </w:r>
            <w:r>
              <w:rPr>
                <w:rFonts w:cs="Arial"/>
              </w:rPr>
              <w:t xml:space="preserve"> по мере ее изменения.</w:t>
            </w:r>
          </w:p>
        </w:tc>
        <w:tc>
          <w:tcPr>
            <w:tcW w:w="7597" w:type="dxa"/>
          </w:tcPr>
          <w:p w14:paraId="2890117A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 В целях составления Отчета Банком России в кредитные организации передается следующая справочная</w:t>
            </w:r>
            <w:r>
              <w:rPr>
                <w:rFonts w:cs="Arial"/>
              </w:rPr>
              <w:t xml:space="preserve"> информация</w:t>
            </w:r>
            <w:r>
              <w:rPr>
                <w:rFonts w:cs="Arial"/>
                <w:shd w:val="clear" w:color="auto" w:fill="C0C0C0"/>
              </w:rPr>
              <w:t>:</w:t>
            </w:r>
          </w:p>
          <w:p w14:paraId="39FB2F77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 w:rsidRPr="00C8525E">
              <w:rPr>
                <w:rFonts w:cs="Arial"/>
              </w:rPr>
              <w:t>о</w:t>
            </w:r>
            <w:r>
              <w:rPr>
                <w:rFonts w:cs="Arial"/>
              </w:rPr>
              <w:t xml:space="preserve"> платежных </w:t>
            </w:r>
            <w:r>
              <w:rPr>
                <w:rFonts w:cs="Arial"/>
                <w:shd w:val="clear" w:color="auto" w:fill="C0C0C0"/>
              </w:rPr>
              <w:t>системах и товарных знаках ЭСП, в рамках которых осуществляются операции</w:t>
            </w:r>
            <w:r>
              <w:rPr>
                <w:rFonts w:cs="Arial"/>
              </w:rPr>
              <w:t xml:space="preserve"> с использованием </w:t>
            </w:r>
            <w:r>
              <w:rPr>
                <w:rFonts w:cs="Arial"/>
                <w:shd w:val="clear" w:color="auto" w:fill="C0C0C0"/>
              </w:rPr>
              <w:t>ЭСП (далее - справочная информация о</w:t>
            </w:r>
            <w:r>
              <w:rPr>
                <w:rFonts w:cs="Arial"/>
              </w:rPr>
              <w:t xml:space="preserve"> платежных </w:t>
            </w:r>
            <w:r>
              <w:rPr>
                <w:rFonts w:cs="Arial"/>
                <w:shd w:val="clear" w:color="auto" w:fill="C0C0C0"/>
              </w:rPr>
              <w:t>системах и товарных знаках ЭСП);</w:t>
            </w:r>
          </w:p>
          <w:p w14:paraId="7458C045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об</w:t>
            </w:r>
            <w:r>
              <w:rPr>
                <w:rFonts w:cs="Arial"/>
              </w:rPr>
              <w:t xml:space="preserve"> иностранных </w:t>
            </w:r>
            <w:r>
              <w:rPr>
                <w:rFonts w:cs="Arial"/>
                <w:shd w:val="clear" w:color="auto" w:fill="C0C0C0"/>
              </w:rPr>
              <w:t>организациях, созданных в соответствии с законодательством иностранных государств, на территории которых они зарегистрированы, и выполняющих функции расчетного центра в платежной системе (далее - иностранные расчетные организации);</w:t>
            </w:r>
          </w:p>
          <w:p w14:paraId="0BD50151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</w:t>
            </w:r>
            <w:r>
              <w:rPr>
                <w:rFonts w:cs="Arial"/>
              </w:rPr>
              <w:t xml:space="preserve"> видах </w:t>
            </w:r>
            <w:r>
              <w:rPr>
                <w:rFonts w:cs="Arial"/>
                <w:shd w:val="clear" w:color="auto" w:fill="C0C0C0"/>
              </w:rPr>
              <w:t>ЭСП;</w:t>
            </w:r>
          </w:p>
          <w:p w14:paraId="05A049C9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</w:t>
            </w:r>
            <w:r>
              <w:rPr>
                <w:rFonts w:cs="Arial"/>
              </w:rPr>
              <w:t xml:space="preserve"> типах платежных систем </w:t>
            </w:r>
            <w:r>
              <w:rPr>
                <w:rFonts w:cs="Arial"/>
                <w:shd w:val="clear" w:color="auto" w:fill="C0C0C0"/>
              </w:rPr>
              <w:t>или товарных знаков.</w:t>
            </w:r>
          </w:p>
          <w:p w14:paraId="713B50D3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Указанная справочная информация</w:t>
            </w:r>
            <w:r>
              <w:rPr>
                <w:rFonts w:cs="Arial"/>
              </w:rPr>
              <w:t xml:space="preserve"> передается в кредитные организации по мере ее изменения.</w:t>
            </w:r>
          </w:p>
        </w:tc>
      </w:tr>
      <w:tr w:rsidR="00C8525E" w14:paraId="29B6606F" w14:textId="77777777" w:rsidTr="00B23521">
        <w:tc>
          <w:tcPr>
            <w:tcW w:w="7597" w:type="dxa"/>
          </w:tcPr>
          <w:p w14:paraId="794B3264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При составлении Отчета </w:t>
            </w:r>
            <w:r>
              <w:rPr>
                <w:rFonts w:cs="Arial"/>
                <w:strike/>
                <w:color w:val="FF0000"/>
              </w:rPr>
              <w:t>необходимо учитывать следующее.</w:t>
            </w:r>
          </w:p>
        </w:tc>
        <w:tc>
          <w:tcPr>
            <w:tcW w:w="7597" w:type="dxa"/>
          </w:tcPr>
          <w:p w14:paraId="54D926E7" w14:textId="77777777" w:rsidR="00C8525E" w:rsidRDefault="00C8525E" w:rsidP="00C8525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При составлении Отчета </w:t>
            </w:r>
            <w:r>
              <w:rPr>
                <w:rFonts w:cs="Arial"/>
                <w:shd w:val="clear" w:color="auto" w:fill="C0C0C0"/>
              </w:rPr>
              <w:t>кредитные организации руководствуются следующим:</w:t>
            </w:r>
          </w:p>
        </w:tc>
      </w:tr>
      <w:tr w:rsidR="00B23521" w14:paraId="5A373CF2" w14:textId="77777777" w:rsidTr="00B23521">
        <w:tc>
          <w:tcPr>
            <w:tcW w:w="7597" w:type="dxa"/>
          </w:tcPr>
          <w:p w14:paraId="549E471C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</w:t>
            </w:r>
            <w:r w:rsidRPr="00C8525E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графе 1 Отчета номер строки должен быть уникальным для кредитной организации, составляющей Отчет. </w:t>
            </w:r>
            <w:r>
              <w:rPr>
                <w:rFonts w:cs="Arial"/>
                <w:strike/>
                <w:color w:val="FF0000"/>
              </w:rPr>
              <w:t>Например</w:t>
            </w:r>
            <w:r>
              <w:rPr>
                <w:rFonts w:cs="Arial"/>
              </w:rPr>
              <w:t xml:space="preserve">, если в первом </w:t>
            </w:r>
            <w:r>
              <w:rPr>
                <w:rFonts w:cs="Arial"/>
                <w:strike/>
                <w:color w:val="FF0000"/>
              </w:rPr>
              <w:t>отчете</w:t>
            </w:r>
            <w:r>
              <w:rPr>
                <w:rFonts w:cs="Arial"/>
              </w:rPr>
              <w:t xml:space="preserve"> кредитной организации были сформированы две строки с номерами 1 и 2, </w:t>
            </w:r>
            <w:r>
              <w:rPr>
                <w:rFonts w:cs="Arial"/>
                <w:strike/>
                <w:color w:val="FF0000"/>
              </w:rPr>
              <w:t>то</w:t>
            </w:r>
            <w:r>
              <w:rPr>
                <w:rFonts w:cs="Arial"/>
              </w:rPr>
              <w:t xml:space="preserve"> при формировании первой строки в следующем </w:t>
            </w:r>
            <w:r>
              <w:rPr>
                <w:rFonts w:cs="Arial"/>
                <w:strike/>
                <w:color w:val="FF0000"/>
              </w:rPr>
              <w:t>отчете</w:t>
            </w:r>
            <w:r>
              <w:rPr>
                <w:rFonts w:cs="Arial"/>
              </w:rPr>
              <w:t xml:space="preserve"> кредитная организация в графе 1 указывает </w:t>
            </w:r>
            <w:r>
              <w:rPr>
                <w:rFonts w:cs="Arial"/>
                <w:strike/>
                <w:color w:val="FF0000"/>
              </w:rPr>
              <w:t>цифру</w:t>
            </w:r>
            <w:r w:rsidRPr="00B60C77">
              <w:rPr>
                <w:rFonts w:cs="Arial"/>
              </w:rPr>
              <w:t xml:space="preserve"> 3.</w:t>
            </w:r>
          </w:p>
          <w:p w14:paraId="571ACD45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C8525E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В графе 2 Отчета указывается дата формирования строки.</w:t>
            </w:r>
          </w:p>
          <w:p w14:paraId="3A41B093" w14:textId="77777777" w:rsidR="00B23521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C8525E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В графе 3 Отчета указывается </w:t>
            </w:r>
            <w:r>
              <w:rPr>
                <w:rFonts w:cs="Arial"/>
                <w:strike/>
                <w:color w:val="FF0000"/>
              </w:rPr>
              <w:t>код вида</w:t>
            </w:r>
            <w:r>
              <w:rPr>
                <w:rFonts w:cs="Arial"/>
              </w:rPr>
              <w:t xml:space="preserve"> деятельности кредитной организации: 1 - эмиссия, 2 - эквайринг. Кредитная организация, осуществляющая эмиссию и эквайринг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>, формирует для каждого вида деятельности отдельную строку.</w:t>
            </w:r>
          </w:p>
        </w:tc>
        <w:tc>
          <w:tcPr>
            <w:tcW w:w="7597" w:type="dxa"/>
          </w:tcPr>
          <w:p w14:paraId="051FCF72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C8525E">
              <w:rPr>
                <w:rFonts w:cs="Arial"/>
              </w:rPr>
              <w:t>.1.</w:t>
            </w:r>
            <w:r>
              <w:rPr>
                <w:rFonts w:cs="Arial"/>
              </w:rPr>
              <w:t xml:space="preserve"> В графе 1 Отчета номер строки должен быть уникальным для кредитной организации, составляющей Отчет. </w:t>
            </w:r>
            <w:r>
              <w:rPr>
                <w:rFonts w:cs="Arial"/>
                <w:shd w:val="clear" w:color="auto" w:fill="C0C0C0"/>
              </w:rPr>
              <w:t>В частности</w:t>
            </w:r>
            <w:r>
              <w:rPr>
                <w:rFonts w:cs="Arial"/>
              </w:rPr>
              <w:t xml:space="preserve">, если в первом </w:t>
            </w:r>
            <w:r>
              <w:rPr>
                <w:rFonts w:cs="Arial"/>
                <w:shd w:val="clear" w:color="auto" w:fill="C0C0C0"/>
              </w:rPr>
              <w:t>представленном в Банк России Отчете</w:t>
            </w:r>
            <w:r>
              <w:rPr>
                <w:rFonts w:cs="Arial"/>
              </w:rPr>
              <w:t xml:space="preserve"> кредитной организации были сформированы две строки с номерами 1 и 2, при формировании первой строки в следующем </w:t>
            </w:r>
            <w:r>
              <w:rPr>
                <w:rFonts w:cs="Arial"/>
                <w:shd w:val="clear" w:color="auto" w:fill="C0C0C0"/>
              </w:rPr>
              <w:t>Отчете</w:t>
            </w:r>
            <w:r>
              <w:rPr>
                <w:rFonts w:cs="Arial"/>
              </w:rPr>
              <w:t xml:space="preserve"> кредитная организация в графе 1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указывает </w:t>
            </w:r>
            <w:r>
              <w:rPr>
                <w:rFonts w:cs="Arial"/>
                <w:shd w:val="clear" w:color="auto" w:fill="C0C0C0"/>
              </w:rPr>
              <w:t>"</w:t>
            </w:r>
            <w:r w:rsidRPr="00B60C77">
              <w:rPr>
                <w:rFonts w:cs="Arial"/>
              </w:rPr>
              <w:t>3</w:t>
            </w:r>
            <w:r>
              <w:rPr>
                <w:rFonts w:cs="Arial"/>
                <w:shd w:val="clear" w:color="auto" w:fill="C0C0C0"/>
              </w:rPr>
              <w:t>"</w:t>
            </w:r>
            <w:r w:rsidRPr="00B60C77">
              <w:rPr>
                <w:rFonts w:cs="Arial"/>
              </w:rPr>
              <w:t>.</w:t>
            </w:r>
          </w:p>
          <w:p w14:paraId="30660C4D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C8525E">
              <w:rPr>
                <w:rFonts w:cs="Arial"/>
              </w:rPr>
              <w:t>.2.</w:t>
            </w:r>
            <w:r>
              <w:rPr>
                <w:rFonts w:cs="Arial"/>
              </w:rPr>
              <w:t xml:space="preserve"> В графе 2 Отчета указывается дата формирования строки.</w:t>
            </w:r>
          </w:p>
          <w:p w14:paraId="55F2AF2D" w14:textId="77777777" w:rsidR="00B23521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C8525E">
              <w:rPr>
                <w:rFonts w:cs="Arial"/>
              </w:rPr>
              <w:t>.3.</w:t>
            </w:r>
            <w:r>
              <w:rPr>
                <w:rFonts w:cs="Arial"/>
              </w:rPr>
              <w:t xml:space="preserve"> В графе 3 Отчета указывается </w:t>
            </w:r>
            <w:r>
              <w:rPr>
                <w:rFonts w:cs="Arial"/>
                <w:shd w:val="clear" w:color="auto" w:fill="C0C0C0"/>
              </w:rPr>
              <w:t>вид</w:t>
            </w:r>
            <w:r>
              <w:rPr>
                <w:rFonts w:cs="Arial"/>
              </w:rPr>
              <w:t xml:space="preserve"> деятельности кредитной организации </w:t>
            </w:r>
            <w:r>
              <w:rPr>
                <w:rFonts w:cs="Arial"/>
                <w:shd w:val="clear" w:color="auto" w:fill="C0C0C0"/>
              </w:rPr>
              <w:t>с использованием следующих кодов</w:t>
            </w:r>
            <w:r>
              <w:rPr>
                <w:rFonts w:cs="Arial"/>
              </w:rPr>
              <w:t xml:space="preserve">: 1 - эмиссия, 2 - эквайринг. Кредитная организация, осуществляющая эмиссию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и эквайринг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>, формирует для каждого вида деятельности отдельную строку.</w:t>
            </w:r>
          </w:p>
        </w:tc>
      </w:tr>
      <w:tr w:rsidR="00B60C77" w14:paraId="77722144" w14:textId="77777777" w:rsidTr="00B23521">
        <w:tc>
          <w:tcPr>
            <w:tcW w:w="7597" w:type="dxa"/>
          </w:tcPr>
          <w:p w14:paraId="1429E376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C8525E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При заполнении граф 4 и 5 Отчета </w:t>
            </w:r>
            <w:r>
              <w:rPr>
                <w:rFonts w:cs="Arial"/>
                <w:strike/>
                <w:color w:val="FF0000"/>
              </w:rPr>
              <w:t>условный</w:t>
            </w:r>
            <w:r>
              <w:rPr>
                <w:rFonts w:cs="Arial"/>
              </w:rPr>
              <w:t xml:space="preserve"> код и наименование платежной системы указываются в соответствии со справочной информацией о платежных системах </w:t>
            </w:r>
            <w:r>
              <w:rPr>
                <w:rFonts w:cs="Arial"/>
                <w:strike/>
                <w:color w:val="FF0000"/>
              </w:rPr>
              <w:t>с использованием платежных карт, передаваемой Банком России</w:t>
            </w:r>
            <w:r>
              <w:rPr>
                <w:rFonts w:cs="Arial"/>
              </w:rPr>
              <w:t>.</w:t>
            </w:r>
          </w:p>
          <w:p w14:paraId="2607EDA7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в указанной справочной информации </w:t>
            </w:r>
            <w:r>
              <w:rPr>
                <w:rFonts w:cs="Arial"/>
                <w:strike/>
                <w:color w:val="FF0000"/>
              </w:rPr>
              <w:t>условного</w:t>
            </w:r>
            <w:r>
              <w:rPr>
                <w:rFonts w:cs="Arial"/>
              </w:rPr>
              <w:t xml:space="preserve"> кода и наименования платежной системы в графе 4 ставится "0", а в графе 5 - наименование отсутствующей платежной системы. Кредитная организация, эмитирующая </w:t>
            </w:r>
            <w:r>
              <w:rPr>
                <w:rFonts w:cs="Arial"/>
                <w:strike/>
                <w:color w:val="FF0000"/>
              </w:rPr>
              <w:t>платежные карты</w:t>
            </w:r>
            <w:r>
              <w:rPr>
                <w:rFonts w:cs="Arial"/>
              </w:rPr>
              <w:t xml:space="preserve"> или осуществляющая эквайринг </w:t>
            </w:r>
            <w:r>
              <w:rPr>
                <w:rFonts w:cs="Arial"/>
                <w:strike/>
                <w:color w:val="FF0000"/>
              </w:rPr>
              <w:t>платежных карт нескольких</w:t>
            </w:r>
            <w:r>
              <w:rPr>
                <w:rFonts w:cs="Arial"/>
              </w:rPr>
              <w:t xml:space="preserve"> платежных систем, формирует для каждой платежной системы отдельную строку.</w:t>
            </w:r>
          </w:p>
        </w:tc>
        <w:tc>
          <w:tcPr>
            <w:tcW w:w="7597" w:type="dxa"/>
          </w:tcPr>
          <w:p w14:paraId="1934D399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C8525E">
              <w:rPr>
                <w:rFonts w:cs="Arial"/>
              </w:rPr>
              <w:t>.4.</w:t>
            </w:r>
            <w:r>
              <w:rPr>
                <w:rFonts w:cs="Arial"/>
              </w:rPr>
              <w:t xml:space="preserve"> При заполнении граф 4 и 5 Отчета код и наименование платежной системы </w:t>
            </w:r>
            <w:r>
              <w:rPr>
                <w:rFonts w:cs="Arial"/>
                <w:shd w:val="clear" w:color="auto" w:fill="C0C0C0"/>
              </w:rPr>
              <w:t>или код и обозначение товарного знака ЭСП</w:t>
            </w:r>
            <w:r>
              <w:rPr>
                <w:rFonts w:cs="Arial"/>
              </w:rPr>
              <w:t xml:space="preserve"> указываются в соответствии со справочной информацией о платежных системах </w:t>
            </w:r>
            <w:r>
              <w:rPr>
                <w:rFonts w:cs="Arial"/>
                <w:shd w:val="clear" w:color="auto" w:fill="C0C0C0"/>
              </w:rPr>
              <w:t>и товарных знаках ЭСП</w:t>
            </w:r>
            <w:r>
              <w:rPr>
                <w:rFonts w:cs="Arial"/>
              </w:rPr>
              <w:t>.</w:t>
            </w:r>
          </w:p>
          <w:p w14:paraId="1AA64357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в указанной справочной информации кода и наименования платежной системы </w:t>
            </w:r>
            <w:r>
              <w:rPr>
                <w:rFonts w:cs="Arial"/>
                <w:shd w:val="clear" w:color="auto" w:fill="C0C0C0"/>
              </w:rPr>
              <w:t>или кода и обозначения товарного знака ЭСП</w:t>
            </w:r>
            <w:r>
              <w:rPr>
                <w:rFonts w:cs="Arial"/>
              </w:rPr>
              <w:t xml:space="preserve"> в графе 4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ставится "0", а в графе 5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- наименование отсутствующей платежной системы </w:t>
            </w:r>
            <w:r>
              <w:rPr>
                <w:rFonts w:cs="Arial"/>
                <w:shd w:val="clear" w:color="auto" w:fill="C0C0C0"/>
              </w:rPr>
              <w:t>или отсутствующего обозначения товарного знака ЭСП</w:t>
            </w:r>
            <w:r>
              <w:rPr>
                <w:rFonts w:cs="Arial"/>
              </w:rPr>
              <w:t xml:space="preserve">. Кредитная организация, эмитирующая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или осуществляющая эквайринг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 различных</w:t>
            </w:r>
            <w:r>
              <w:rPr>
                <w:rFonts w:cs="Arial"/>
              </w:rPr>
              <w:t xml:space="preserve"> платежных систем </w:t>
            </w:r>
            <w:r>
              <w:rPr>
                <w:rFonts w:cs="Arial"/>
                <w:shd w:val="clear" w:color="auto" w:fill="C0C0C0"/>
              </w:rPr>
              <w:t>или товарных знаков</w:t>
            </w:r>
            <w:r>
              <w:rPr>
                <w:rFonts w:cs="Arial"/>
              </w:rPr>
              <w:t xml:space="preserve">, формирует для каждой платежной системы </w:t>
            </w:r>
            <w:r>
              <w:rPr>
                <w:rFonts w:cs="Arial"/>
                <w:shd w:val="clear" w:color="auto" w:fill="C0C0C0"/>
              </w:rPr>
              <w:t>или каждого товарного знака</w:t>
            </w:r>
            <w:r>
              <w:rPr>
                <w:rFonts w:cs="Arial"/>
              </w:rPr>
              <w:t xml:space="preserve"> отдельную строку.</w:t>
            </w:r>
          </w:p>
        </w:tc>
      </w:tr>
      <w:tr w:rsidR="00B60C77" w14:paraId="6F2B0246" w14:textId="77777777" w:rsidTr="00B23521">
        <w:tc>
          <w:tcPr>
            <w:tcW w:w="7597" w:type="dxa"/>
          </w:tcPr>
          <w:p w14:paraId="70732489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В графе 6 Отчета указывается дата начала эмиссии или эквайринга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>:</w:t>
            </w:r>
          </w:p>
          <w:p w14:paraId="0C4D9F46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начала эмиссии расчетных или кредитных карт </w:t>
            </w:r>
            <w:r>
              <w:rPr>
                <w:rFonts w:cs="Arial"/>
                <w:strike/>
                <w:color w:val="FF0000"/>
              </w:rPr>
              <w:t>в одной платежной системе</w:t>
            </w:r>
            <w:r>
              <w:rPr>
                <w:rFonts w:cs="Arial"/>
              </w:rPr>
              <w:t xml:space="preserve"> - дата заключения кредитной организацией первого договора с </w:t>
            </w:r>
            <w:r>
              <w:rPr>
                <w:rFonts w:cs="Arial"/>
                <w:strike/>
                <w:color w:val="FF0000"/>
              </w:rPr>
              <w:t>физическим лицом (юридическим лицом, индивидуальным предпринимателем) на осуществление эмиссии этих</w:t>
            </w:r>
            <w:r>
              <w:rPr>
                <w:rFonts w:cs="Arial"/>
              </w:rPr>
              <w:t xml:space="preserve"> карт;</w:t>
            </w:r>
          </w:p>
        </w:tc>
        <w:tc>
          <w:tcPr>
            <w:tcW w:w="7597" w:type="dxa"/>
          </w:tcPr>
          <w:p w14:paraId="18E3EB84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.5.</w:t>
            </w:r>
            <w:r>
              <w:rPr>
                <w:rFonts w:cs="Arial"/>
              </w:rPr>
              <w:t xml:space="preserve"> В графе 6 Отчета указывается дата начала эмиссии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или эквайринга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 следующим образом</w:t>
            </w:r>
            <w:r>
              <w:rPr>
                <w:rFonts w:cs="Arial"/>
              </w:rPr>
              <w:t>:</w:t>
            </w:r>
          </w:p>
          <w:p w14:paraId="7ACEEB6F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начала эмиссии расчетных </w:t>
            </w:r>
            <w:r>
              <w:rPr>
                <w:rFonts w:cs="Arial"/>
                <w:shd w:val="clear" w:color="auto" w:fill="C0C0C0"/>
              </w:rPr>
              <w:t>(дебетовых)</w:t>
            </w:r>
            <w:r>
              <w:rPr>
                <w:rFonts w:cs="Arial"/>
              </w:rPr>
              <w:t xml:space="preserve"> или кредитных карт - дата заключения кредитной организацией первого договора с </w:t>
            </w:r>
            <w:r>
              <w:rPr>
                <w:rFonts w:cs="Arial"/>
                <w:shd w:val="clear" w:color="auto" w:fill="C0C0C0"/>
              </w:rPr>
              <w:t>клиентом об эмиссии соответствующих банковских</w:t>
            </w:r>
            <w:r>
              <w:rPr>
                <w:rFonts w:cs="Arial"/>
              </w:rPr>
              <w:t xml:space="preserve"> карт;</w:t>
            </w:r>
          </w:p>
        </w:tc>
      </w:tr>
      <w:tr w:rsidR="00B60C77" w14:paraId="40BF2707" w14:textId="77777777" w:rsidTr="00B23521">
        <w:tc>
          <w:tcPr>
            <w:tcW w:w="7597" w:type="dxa"/>
          </w:tcPr>
          <w:p w14:paraId="6003287F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начала эмиссии </w:t>
            </w:r>
            <w:r>
              <w:rPr>
                <w:rFonts w:cs="Arial"/>
                <w:strike/>
                <w:color w:val="FF0000"/>
              </w:rPr>
              <w:t>предоплаченных карт в одной платежной системе</w:t>
            </w:r>
            <w:r w:rsidRPr="00B60C77">
              <w:rPr>
                <w:rFonts w:cs="Arial"/>
              </w:rPr>
              <w:t xml:space="preserve"> - дата </w:t>
            </w:r>
            <w:r>
              <w:rPr>
                <w:rFonts w:cs="Arial"/>
                <w:strike/>
                <w:color w:val="FF0000"/>
              </w:rPr>
              <w:t xml:space="preserve">выдачи клиенту первой предоплаченной карты или дата заключения </w:t>
            </w:r>
            <w:r>
              <w:rPr>
                <w:rFonts w:cs="Arial"/>
                <w:strike/>
                <w:color w:val="FF0000"/>
              </w:rPr>
              <w:lastRenderedPageBreak/>
              <w:t>кредитной организацией первого договора с физическим лицом на осуществление эмиссии этих карт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4356DB8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дата начала эмиссии </w:t>
            </w:r>
            <w:r>
              <w:rPr>
                <w:rFonts w:cs="Arial"/>
                <w:shd w:val="clear" w:color="auto" w:fill="C0C0C0"/>
              </w:rPr>
              <w:t>ЭСП для перевода ЭДС</w:t>
            </w:r>
            <w:r w:rsidRPr="00B60C77">
              <w:rPr>
                <w:rFonts w:cs="Arial"/>
              </w:rPr>
              <w:t xml:space="preserve"> - дата </w:t>
            </w:r>
            <w:r>
              <w:rPr>
                <w:rFonts w:cs="Arial"/>
                <w:shd w:val="clear" w:color="auto" w:fill="C0C0C0"/>
              </w:rPr>
              <w:t>первого увеличения остатка ЭДС</w:t>
            </w:r>
            <w:r>
              <w:rPr>
                <w:rFonts w:cs="Arial"/>
              </w:rPr>
              <w:t>;</w:t>
            </w:r>
          </w:p>
        </w:tc>
      </w:tr>
      <w:tr w:rsidR="00B60C77" w14:paraId="753D7A3F" w14:textId="77777777" w:rsidTr="00B23521">
        <w:tc>
          <w:tcPr>
            <w:tcW w:w="7597" w:type="dxa"/>
          </w:tcPr>
          <w:p w14:paraId="004902B3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начала эквайринга </w:t>
            </w:r>
            <w:r>
              <w:rPr>
                <w:rFonts w:cs="Arial"/>
                <w:strike/>
                <w:color w:val="FF0000"/>
              </w:rPr>
              <w:t>платежных карт в одной платежной системе</w:t>
            </w:r>
            <w:r>
              <w:rPr>
                <w:rFonts w:cs="Arial"/>
              </w:rPr>
              <w:t xml:space="preserve"> - дата заключения кредитной организацией договора </w:t>
            </w:r>
            <w:r>
              <w:rPr>
                <w:rFonts w:cs="Arial"/>
                <w:strike/>
                <w:color w:val="FF0000"/>
              </w:rPr>
              <w:t>с организацией</w:t>
            </w:r>
            <w:r>
              <w:rPr>
                <w:rFonts w:cs="Arial"/>
              </w:rPr>
              <w:t xml:space="preserve"> торговли (услуг) </w:t>
            </w:r>
            <w:r>
              <w:rPr>
                <w:rFonts w:cs="Arial"/>
                <w:strike/>
                <w:color w:val="FF0000"/>
              </w:rPr>
              <w:t>на обслуживание платежных карт</w:t>
            </w:r>
            <w:r>
              <w:rPr>
                <w:rFonts w:cs="Arial"/>
              </w:rPr>
              <w:t xml:space="preserve"> или дата совершения первой операции по выдаче наличных денежных средств держателю </w:t>
            </w:r>
            <w:r>
              <w:rPr>
                <w:rFonts w:cs="Arial"/>
                <w:strike/>
                <w:color w:val="FF0000"/>
              </w:rPr>
              <w:t>карты</w:t>
            </w:r>
            <w:r>
              <w:rPr>
                <w:rFonts w:cs="Arial"/>
              </w:rPr>
              <w:t xml:space="preserve">, не являющемуся клиентом </w:t>
            </w:r>
            <w:r>
              <w:rPr>
                <w:rFonts w:cs="Arial"/>
                <w:strike/>
                <w:color w:val="FF0000"/>
              </w:rPr>
              <w:t>данной</w:t>
            </w:r>
            <w:r>
              <w:rPr>
                <w:rFonts w:cs="Arial"/>
              </w:rPr>
              <w:t xml:space="preserve"> кредитной организации.</w:t>
            </w:r>
          </w:p>
        </w:tc>
        <w:tc>
          <w:tcPr>
            <w:tcW w:w="7597" w:type="dxa"/>
          </w:tcPr>
          <w:p w14:paraId="0BF947A0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начала эквайринга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 - дата заключения кредитной организацией </w:t>
            </w:r>
            <w:r>
              <w:rPr>
                <w:rFonts w:cs="Arial"/>
                <w:shd w:val="clear" w:color="auto" w:fill="C0C0C0"/>
              </w:rPr>
              <w:t>с юридическим лицом, индивидуальным предпринимателем, иным лицом, указанным в части 14 статьи 9.1 Федерального закона от 27 июня 2011 года N 161-ФЗ "О национальной платежной системе",</w:t>
            </w:r>
            <w:r>
              <w:rPr>
                <w:rFonts w:cs="Arial"/>
              </w:rPr>
              <w:t xml:space="preserve"> договора </w:t>
            </w:r>
            <w:r>
              <w:rPr>
                <w:rFonts w:cs="Arial"/>
                <w:shd w:val="clear" w:color="auto" w:fill="C0C0C0"/>
              </w:rPr>
              <w:t>о приеме ЭСП в целях оплаты товаров (работ, услуг), использования результатов интеллектуальной деятельности (далее - организация</w:t>
            </w:r>
            <w:r>
              <w:rPr>
                <w:rFonts w:cs="Arial"/>
              </w:rPr>
              <w:t xml:space="preserve"> торговли (услуг) или дата совершения первой операции по выдаче наличных денежных средств держателю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, не являющемуся клиентом </w:t>
            </w:r>
            <w:r>
              <w:rPr>
                <w:rFonts w:cs="Arial"/>
                <w:shd w:val="clear" w:color="auto" w:fill="C0C0C0"/>
              </w:rPr>
              <w:t>отчитывающейся</w:t>
            </w:r>
            <w:r>
              <w:rPr>
                <w:rFonts w:cs="Arial"/>
              </w:rPr>
              <w:t xml:space="preserve"> кредитной организации.</w:t>
            </w:r>
          </w:p>
        </w:tc>
      </w:tr>
      <w:tr w:rsidR="00B60C77" w14:paraId="352114A1" w14:textId="77777777" w:rsidTr="00B23521">
        <w:tc>
          <w:tcPr>
            <w:tcW w:w="7597" w:type="dxa"/>
          </w:tcPr>
          <w:p w14:paraId="5287C926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Графа 6 Отчета заполняется при формировании строки о начале указанной деятельности (при этом графа 7 Отчета не заполняется). </w:t>
            </w:r>
            <w:r>
              <w:rPr>
                <w:rFonts w:cs="Arial"/>
                <w:strike/>
                <w:color w:val="FF0000"/>
              </w:rPr>
              <w:t>Например,</w:t>
            </w:r>
            <w:r>
              <w:rPr>
                <w:rFonts w:cs="Arial"/>
              </w:rPr>
              <w:t xml:space="preserve"> кредитная организация, осуществляющая эмиссию расчетных и кредитных карт платежной системы </w:t>
            </w:r>
            <w:r>
              <w:rPr>
                <w:rFonts w:cs="Arial"/>
                <w:strike/>
                <w:color w:val="FF0000"/>
              </w:rPr>
              <w:t>Виза, должна сформировать</w:t>
            </w:r>
            <w:r>
              <w:rPr>
                <w:rFonts w:cs="Arial"/>
              </w:rPr>
              <w:t xml:space="preserve"> две строки</w:t>
            </w:r>
            <w:r>
              <w:rPr>
                <w:rFonts w:cs="Arial"/>
                <w:strike/>
                <w:color w:val="FF0000"/>
              </w:rPr>
              <w:t>. При этом</w:t>
            </w:r>
            <w:r>
              <w:rPr>
                <w:rFonts w:cs="Arial"/>
              </w:rPr>
              <w:t xml:space="preserve"> в графе 6 </w:t>
            </w:r>
            <w:r>
              <w:rPr>
                <w:rFonts w:cs="Arial"/>
                <w:strike/>
                <w:color w:val="FF0000"/>
              </w:rPr>
              <w:t>Отчета</w:t>
            </w:r>
            <w:r>
              <w:rPr>
                <w:rFonts w:cs="Arial"/>
              </w:rPr>
              <w:t xml:space="preserve"> первой строки кредитная организация </w:t>
            </w:r>
            <w:r>
              <w:rPr>
                <w:rFonts w:cs="Arial"/>
                <w:strike/>
                <w:color w:val="FF0000"/>
              </w:rPr>
              <w:t>должна указать</w:t>
            </w:r>
            <w:r>
              <w:rPr>
                <w:rFonts w:cs="Arial"/>
              </w:rPr>
              <w:t xml:space="preserve"> дату начала эмиссии расчетных карт платежной системы </w:t>
            </w:r>
            <w:r>
              <w:rPr>
                <w:rFonts w:cs="Arial"/>
                <w:strike/>
                <w:color w:val="FF0000"/>
              </w:rPr>
              <w:t>Виза</w:t>
            </w:r>
            <w:r>
              <w:rPr>
                <w:rFonts w:cs="Arial"/>
              </w:rPr>
              <w:t>, а в графе 6 второй строки - дату начала эмиссии кредитных карт.</w:t>
            </w:r>
          </w:p>
        </w:tc>
        <w:tc>
          <w:tcPr>
            <w:tcW w:w="7597" w:type="dxa"/>
          </w:tcPr>
          <w:p w14:paraId="3E3C94B1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Графа 6 Отчета заполняется при формировании строки о начале указанной </w:t>
            </w:r>
            <w:r>
              <w:rPr>
                <w:rFonts w:cs="Arial"/>
                <w:shd w:val="clear" w:color="auto" w:fill="C0C0C0"/>
              </w:rPr>
              <w:t>в абзацах втором - четвертом настоящего подпункта</w:t>
            </w:r>
            <w:r>
              <w:rPr>
                <w:rFonts w:cs="Arial"/>
              </w:rPr>
              <w:t xml:space="preserve"> деятельности (при этом графа 7 Отчета не заполняется). </w:t>
            </w:r>
            <w:r>
              <w:rPr>
                <w:rFonts w:cs="Arial"/>
                <w:shd w:val="clear" w:color="auto" w:fill="C0C0C0"/>
              </w:rPr>
              <w:t>В частности, если</w:t>
            </w:r>
            <w:r>
              <w:rPr>
                <w:rFonts w:cs="Arial"/>
              </w:rPr>
              <w:t xml:space="preserve"> кредитная организация, осуществляющая эмиссию расчетных </w:t>
            </w:r>
            <w:r>
              <w:rPr>
                <w:rFonts w:cs="Arial"/>
                <w:shd w:val="clear" w:color="auto" w:fill="C0C0C0"/>
              </w:rPr>
              <w:t>(дебетовых)</w:t>
            </w:r>
            <w:r>
              <w:rPr>
                <w:rFonts w:cs="Arial"/>
              </w:rPr>
              <w:t xml:space="preserve"> и кредитных карт платежной системы </w:t>
            </w:r>
            <w:r>
              <w:rPr>
                <w:rFonts w:cs="Arial"/>
                <w:shd w:val="clear" w:color="auto" w:fill="C0C0C0"/>
              </w:rPr>
              <w:t>"Мир", формирует</w:t>
            </w:r>
            <w:r>
              <w:rPr>
                <w:rFonts w:cs="Arial"/>
              </w:rPr>
              <w:t xml:space="preserve"> две строки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 графе 6 первой строки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кредитная организация </w:t>
            </w:r>
            <w:r>
              <w:rPr>
                <w:rFonts w:cs="Arial"/>
                <w:shd w:val="clear" w:color="auto" w:fill="C0C0C0"/>
              </w:rPr>
              <w:t>указывает</w:t>
            </w:r>
            <w:r>
              <w:rPr>
                <w:rFonts w:cs="Arial"/>
              </w:rPr>
              <w:t xml:space="preserve"> дату начала эмиссии расчетных </w:t>
            </w:r>
            <w:r>
              <w:rPr>
                <w:rFonts w:cs="Arial"/>
                <w:shd w:val="clear" w:color="auto" w:fill="C0C0C0"/>
              </w:rPr>
              <w:t>(дебетовых)</w:t>
            </w:r>
            <w:r>
              <w:rPr>
                <w:rFonts w:cs="Arial"/>
              </w:rPr>
              <w:t xml:space="preserve"> карт платежной системы </w:t>
            </w:r>
            <w:r>
              <w:rPr>
                <w:rFonts w:cs="Arial"/>
                <w:shd w:val="clear" w:color="auto" w:fill="C0C0C0"/>
              </w:rPr>
              <w:t>"Мир"</w:t>
            </w:r>
            <w:r>
              <w:rPr>
                <w:rFonts w:cs="Arial"/>
              </w:rPr>
              <w:t xml:space="preserve">, а в графе 6 второй строки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- дату начала эмиссии кредитных карт </w:t>
            </w:r>
            <w:r>
              <w:rPr>
                <w:rFonts w:cs="Arial"/>
                <w:shd w:val="clear" w:color="auto" w:fill="C0C0C0"/>
              </w:rPr>
              <w:t>платежной системы "Мир"</w:t>
            </w:r>
            <w:r>
              <w:rPr>
                <w:rFonts w:cs="Arial"/>
              </w:rPr>
              <w:t>.</w:t>
            </w:r>
          </w:p>
        </w:tc>
      </w:tr>
      <w:tr w:rsidR="00B60C77" w14:paraId="0D5CC0B4" w14:textId="77777777" w:rsidTr="00B23521">
        <w:tc>
          <w:tcPr>
            <w:tcW w:w="7597" w:type="dxa"/>
          </w:tcPr>
          <w:p w14:paraId="51214585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В графе 7 Отчета указывается дата завершения эмиссии или эквайринга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>:</w:t>
            </w:r>
          </w:p>
          <w:p w14:paraId="0474E1C7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завершения эмиссии </w:t>
            </w:r>
            <w:r>
              <w:rPr>
                <w:rFonts w:cs="Arial"/>
                <w:strike/>
                <w:color w:val="FF0000"/>
              </w:rPr>
              <w:t>расчетных или кредитных карт в одной платежной системе</w:t>
            </w:r>
            <w:r w:rsidRPr="00B60C77">
              <w:rPr>
                <w:rFonts w:cs="Arial"/>
              </w:rPr>
              <w:t xml:space="preserve"> - дата </w:t>
            </w:r>
            <w:r>
              <w:rPr>
                <w:rFonts w:cs="Arial"/>
                <w:strike/>
                <w:color w:val="FF0000"/>
              </w:rPr>
              <w:t>расторжения кредитной организацией всех договоров с физическими лицами, юридическими лицами и индивидуальными предпринимателями на осуществление эмиссии расчетных и кредитных карт или, если кредитная организация не планирует продолжать эмиссию расчетных и кредитных карт, дата истечения срока</w:t>
            </w:r>
            <w:r>
              <w:rPr>
                <w:rFonts w:cs="Arial"/>
              </w:rPr>
              <w:t xml:space="preserve"> действия </w:t>
            </w:r>
            <w:r>
              <w:rPr>
                <w:rFonts w:cs="Arial"/>
                <w:strike/>
                <w:color w:val="FF0000"/>
              </w:rPr>
              <w:t>всех</w:t>
            </w:r>
            <w:r>
              <w:rPr>
                <w:rFonts w:cs="Arial"/>
              </w:rPr>
              <w:t xml:space="preserve"> заключенных кредитной организацией договоров </w:t>
            </w:r>
            <w:r>
              <w:rPr>
                <w:rFonts w:cs="Arial"/>
                <w:strike/>
                <w:color w:val="FF0000"/>
              </w:rPr>
              <w:t>с физическими лицами, юридическими лицами и индивидуальными предпринимателями на осуществление</w:t>
            </w:r>
            <w:r>
              <w:rPr>
                <w:rFonts w:cs="Arial"/>
              </w:rPr>
              <w:t xml:space="preserve"> эмиссии </w:t>
            </w:r>
            <w:r>
              <w:rPr>
                <w:rFonts w:cs="Arial"/>
                <w:strike/>
                <w:color w:val="FF0000"/>
              </w:rPr>
              <w:t>расчетных и кредитных карт</w:t>
            </w:r>
            <w:r w:rsidRPr="00B60C77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13063655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.6.</w:t>
            </w:r>
            <w:r>
              <w:rPr>
                <w:rFonts w:cs="Arial"/>
              </w:rPr>
              <w:t xml:space="preserve"> В графе 7 Отчета указывается дата завершения эмиссии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или эквайринга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 следующим образом</w:t>
            </w:r>
            <w:r>
              <w:rPr>
                <w:rFonts w:cs="Arial"/>
              </w:rPr>
              <w:t>:</w:t>
            </w:r>
          </w:p>
          <w:p w14:paraId="705F26B4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завершения эмиссии </w:t>
            </w:r>
            <w:r>
              <w:rPr>
                <w:rFonts w:cs="Arial"/>
                <w:shd w:val="clear" w:color="auto" w:fill="C0C0C0"/>
              </w:rPr>
              <w:t>ЭСП</w:t>
            </w:r>
            <w:r w:rsidRPr="00B60C77">
              <w:rPr>
                <w:rFonts w:cs="Arial"/>
              </w:rPr>
              <w:t xml:space="preserve"> - дата </w:t>
            </w:r>
            <w:r>
              <w:rPr>
                <w:rFonts w:cs="Arial"/>
                <w:shd w:val="clear" w:color="auto" w:fill="C0C0C0"/>
              </w:rPr>
              <w:t>прекращения</w:t>
            </w:r>
            <w:r>
              <w:rPr>
                <w:rFonts w:cs="Arial"/>
              </w:rPr>
              <w:t xml:space="preserve"> действия </w:t>
            </w:r>
            <w:r>
              <w:rPr>
                <w:rFonts w:cs="Arial"/>
                <w:shd w:val="clear" w:color="auto" w:fill="C0C0C0"/>
              </w:rPr>
              <w:t>последнего договора из</w:t>
            </w:r>
            <w:r>
              <w:rPr>
                <w:rFonts w:cs="Arial"/>
              </w:rPr>
              <w:t xml:space="preserve"> заключенных кредитной организацией договоров </w:t>
            </w:r>
            <w:r>
              <w:rPr>
                <w:rFonts w:cs="Arial"/>
                <w:shd w:val="clear" w:color="auto" w:fill="C0C0C0"/>
              </w:rPr>
              <w:t>об</w:t>
            </w:r>
            <w:r>
              <w:rPr>
                <w:rFonts w:cs="Arial"/>
              </w:rPr>
              <w:t xml:space="preserve"> эмиссии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>;</w:t>
            </w:r>
          </w:p>
        </w:tc>
      </w:tr>
      <w:tr w:rsidR="00B60C77" w14:paraId="760D78CD" w14:textId="77777777" w:rsidTr="00B23521">
        <w:tc>
          <w:tcPr>
            <w:tcW w:w="7597" w:type="dxa"/>
          </w:tcPr>
          <w:p w14:paraId="3A596FDD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дата завершения эмиссии предоплаченных карт в одной платежной системе - дата расторжения кредитной организацией всех договоров с физическими лицами на осуществление эмиссии этих карт или, если кредитная </w:t>
            </w:r>
            <w:r>
              <w:rPr>
                <w:rFonts w:cs="Arial"/>
                <w:strike/>
                <w:color w:val="FF0000"/>
              </w:rPr>
              <w:lastRenderedPageBreak/>
              <w:t>организация не планирует продолжать эмиссию предоплаченных карт, дата исполнения кредитной организацией всех своих обязательств по операциям с использованием ранее выданных ею предоплаченных карт</w:t>
            </w:r>
            <w:r w:rsidRPr="00B60C77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4254D26" w14:textId="77777777" w:rsidR="00B60C77" w:rsidRDefault="00B60C77" w:rsidP="00B60C77">
            <w:pPr>
              <w:spacing w:after="1" w:line="200" w:lineRule="atLeast"/>
              <w:jc w:val="both"/>
            </w:pPr>
          </w:p>
        </w:tc>
      </w:tr>
      <w:tr w:rsidR="00B60C77" w14:paraId="3AF73ADC" w14:textId="77777777" w:rsidTr="00B23521">
        <w:tc>
          <w:tcPr>
            <w:tcW w:w="7597" w:type="dxa"/>
          </w:tcPr>
          <w:p w14:paraId="7DE0540B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завершения эквайринга </w:t>
            </w:r>
            <w:r>
              <w:rPr>
                <w:rFonts w:cs="Arial"/>
                <w:strike/>
                <w:color w:val="FF0000"/>
              </w:rPr>
              <w:t>платежных карт в одной платежной системе</w:t>
            </w:r>
            <w:r>
              <w:rPr>
                <w:rFonts w:cs="Arial"/>
              </w:rPr>
              <w:t xml:space="preserve"> - дата расторжения кредитной организацией всех договоров, заключенных с организациями торговли (услуг), и прекращения деятельности по выдаче наличных денежных средств держателям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, не являющимся клиентами </w:t>
            </w:r>
            <w:r>
              <w:rPr>
                <w:rFonts w:cs="Arial"/>
                <w:strike/>
                <w:color w:val="FF0000"/>
              </w:rPr>
              <w:t>данной</w:t>
            </w:r>
            <w:r>
              <w:rPr>
                <w:rFonts w:cs="Arial"/>
              </w:rPr>
              <w:t xml:space="preserve"> кредитной организации.</w:t>
            </w:r>
          </w:p>
        </w:tc>
        <w:tc>
          <w:tcPr>
            <w:tcW w:w="7597" w:type="dxa"/>
          </w:tcPr>
          <w:p w14:paraId="220528B4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дата завершения эквайринга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 - дата расторжения кредитной организацией всех договоров </w:t>
            </w:r>
            <w:r>
              <w:rPr>
                <w:rFonts w:cs="Arial"/>
                <w:shd w:val="clear" w:color="auto" w:fill="C0C0C0"/>
              </w:rPr>
              <w:t>о приеме ЭСП</w:t>
            </w:r>
            <w:r>
              <w:rPr>
                <w:rFonts w:cs="Arial"/>
              </w:rPr>
              <w:t xml:space="preserve">, заключенных с организациями торговли (услуг), и прекращения деятельности по выдаче наличных денежных средств держателям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, не являющимся клиентами </w:t>
            </w:r>
            <w:r>
              <w:rPr>
                <w:rFonts w:cs="Arial"/>
                <w:shd w:val="clear" w:color="auto" w:fill="C0C0C0"/>
              </w:rPr>
              <w:t>отчитывающейся</w:t>
            </w:r>
            <w:r>
              <w:rPr>
                <w:rFonts w:cs="Arial"/>
              </w:rPr>
              <w:t xml:space="preserve"> кредитной организации.</w:t>
            </w:r>
          </w:p>
        </w:tc>
      </w:tr>
      <w:tr w:rsidR="00B60C77" w14:paraId="2121C429" w14:textId="77777777" w:rsidTr="00B23521">
        <w:tc>
          <w:tcPr>
            <w:tcW w:w="7597" w:type="dxa"/>
          </w:tcPr>
          <w:p w14:paraId="3999EFFA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Графа 7 Отчета заполняется при формировании строки о завершении указанной деятельности (при этом графа 6 Отчета не заполняется).</w:t>
            </w:r>
          </w:p>
        </w:tc>
        <w:tc>
          <w:tcPr>
            <w:tcW w:w="7597" w:type="dxa"/>
          </w:tcPr>
          <w:p w14:paraId="61980C6E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Графа 7 Отчета заполняется при формировании строки о завершении указанной </w:t>
            </w:r>
            <w:r>
              <w:rPr>
                <w:rFonts w:cs="Arial"/>
                <w:shd w:val="clear" w:color="auto" w:fill="C0C0C0"/>
              </w:rPr>
              <w:t>в абзацах втором и третьем настоящего подпункта</w:t>
            </w:r>
            <w:r>
              <w:rPr>
                <w:rFonts w:cs="Arial"/>
              </w:rPr>
              <w:t xml:space="preserve"> деятельности (при этом графа 6 Отчета не заполняется).</w:t>
            </w:r>
          </w:p>
        </w:tc>
      </w:tr>
      <w:tr w:rsidR="00B60C77" w14:paraId="0C5ED4AA" w14:textId="77777777" w:rsidTr="00B23521">
        <w:tc>
          <w:tcPr>
            <w:tcW w:w="7597" w:type="dxa"/>
          </w:tcPr>
          <w:p w14:paraId="276F1776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Кредитная организация, завершающая эмиссию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одной из заявленных ранее платежных систем, заполняет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строке только графы 1 - 5 и 7 Отчета. При этом в графе 7 указывается дата завершения эмиссии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соответствующей платежной системы</w:t>
            </w:r>
            <w:r>
              <w:rPr>
                <w:rFonts w:cs="Arial"/>
                <w:strike/>
                <w:color w:val="FF0000"/>
              </w:rPr>
              <w:t>. Аналогично</w:t>
            </w:r>
            <w:r>
              <w:rPr>
                <w:rFonts w:cs="Arial"/>
              </w:rPr>
              <w:t xml:space="preserve"> заполняется строка о завершении эквайринга </w:t>
            </w:r>
            <w:r>
              <w:rPr>
                <w:rFonts w:cs="Arial"/>
                <w:strike/>
                <w:color w:val="FF0000"/>
              </w:rPr>
              <w:t>платежных карт одной из заявленных ранее платежных систем</w:t>
            </w:r>
            <w:r w:rsidRPr="00B60C77">
              <w:rPr>
                <w:rFonts w:cs="Arial"/>
              </w:rPr>
              <w:t>.</w:t>
            </w:r>
          </w:p>
          <w:p w14:paraId="6BE3D70A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В графе 8 Отчета указывается код типа платежной системы: 1 - международная </w:t>
            </w:r>
            <w:r>
              <w:rPr>
                <w:rFonts w:cs="Arial"/>
                <w:strike/>
                <w:color w:val="FF0000"/>
              </w:rPr>
              <w:t>платежная система</w:t>
            </w:r>
            <w:r w:rsidRPr="00B60C77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создана</w:t>
            </w:r>
            <w:r>
              <w:rPr>
                <w:rFonts w:cs="Arial"/>
              </w:rPr>
              <w:t xml:space="preserve"> за пределами территории Российской Федерации)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2 - российская </w:t>
            </w:r>
            <w:r>
              <w:rPr>
                <w:rFonts w:cs="Arial"/>
                <w:strike/>
                <w:color w:val="FF0000"/>
              </w:rPr>
              <w:t>платежная система</w:t>
            </w:r>
            <w:r w:rsidRPr="00B60C77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создана</w:t>
            </w:r>
            <w:r>
              <w:rPr>
                <w:rFonts w:cs="Arial"/>
              </w:rPr>
              <w:t xml:space="preserve"> на территории Российской Федерации).</w:t>
            </w:r>
          </w:p>
        </w:tc>
        <w:tc>
          <w:tcPr>
            <w:tcW w:w="7597" w:type="dxa"/>
          </w:tcPr>
          <w:p w14:paraId="1EBD9E49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Кредитная организация, завершающая эмиссию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одной </w:t>
            </w:r>
            <w:r>
              <w:rPr>
                <w:rFonts w:cs="Arial"/>
                <w:shd w:val="clear" w:color="auto" w:fill="C0C0C0"/>
              </w:rPr>
              <w:t>(одного)</w:t>
            </w:r>
            <w:r>
              <w:rPr>
                <w:rFonts w:cs="Arial"/>
              </w:rPr>
              <w:t xml:space="preserve"> из заявленных ранее платежных систем </w:t>
            </w:r>
            <w:r>
              <w:rPr>
                <w:rFonts w:cs="Arial"/>
                <w:shd w:val="clear" w:color="auto" w:fill="C0C0C0"/>
              </w:rPr>
              <w:t>или товарных знаков</w:t>
            </w:r>
            <w:r>
              <w:rPr>
                <w:rFonts w:cs="Arial"/>
              </w:rPr>
              <w:t xml:space="preserve">, заполняет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строке только графы 1 - 5 и 7 Отчета. При этом в графе 7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указывается дата завершения эмиссии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соответствующей платежной системы </w:t>
            </w:r>
            <w:r>
              <w:rPr>
                <w:rFonts w:cs="Arial"/>
                <w:shd w:val="clear" w:color="auto" w:fill="C0C0C0"/>
              </w:rPr>
              <w:t>или соответствующего товарного знака. Так же</w:t>
            </w:r>
            <w:r>
              <w:rPr>
                <w:rFonts w:cs="Arial"/>
              </w:rPr>
              <w:t xml:space="preserve"> заполняется строка о завершении эквайринга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 w:rsidRPr="00B60C77">
              <w:rPr>
                <w:rFonts w:cs="Arial"/>
              </w:rPr>
              <w:t>.</w:t>
            </w:r>
          </w:p>
          <w:p w14:paraId="6B6E0F8A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.7.</w:t>
            </w:r>
            <w:r>
              <w:rPr>
                <w:rFonts w:cs="Arial"/>
              </w:rPr>
              <w:t xml:space="preserve"> В графе 8 Отчета указывается код типа платежной системы </w:t>
            </w:r>
            <w:r>
              <w:rPr>
                <w:rFonts w:cs="Arial"/>
                <w:shd w:val="clear" w:color="auto" w:fill="C0C0C0"/>
              </w:rPr>
              <w:t>или товарного знака</w:t>
            </w:r>
            <w:r>
              <w:rPr>
                <w:rFonts w:cs="Arial"/>
              </w:rPr>
              <w:t>:</w:t>
            </w:r>
          </w:p>
          <w:p w14:paraId="785703BC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1 - международная </w:t>
            </w:r>
            <w:r>
              <w:rPr>
                <w:rFonts w:cs="Arial"/>
                <w:shd w:val="clear" w:color="auto" w:fill="C0C0C0"/>
              </w:rPr>
              <w:t>(международный)</w:t>
            </w:r>
            <w:r w:rsidRPr="00B60C77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созданы</w:t>
            </w:r>
            <w:r>
              <w:rPr>
                <w:rFonts w:cs="Arial"/>
              </w:rPr>
              <w:t xml:space="preserve"> за пределами территории Российской Федерации)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3D374500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2 - российская </w:t>
            </w:r>
            <w:r>
              <w:rPr>
                <w:rFonts w:cs="Arial"/>
                <w:shd w:val="clear" w:color="auto" w:fill="C0C0C0"/>
              </w:rPr>
              <w:t>(российский)</w:t>
            </w:r>
            <w:r w:rsidRPr="00B60C77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созданы</w:t>
            </w:r>
            <w:r>
              <w:rPr>
                <w:rFonts w:cs="Arial"/>
              </w:rPr>
              <w:t xml:space="preserve"> на территории Российской Федерации).</w:t>
            </w:r>
          </w:p>
        </w:tc>
      </w:tr>
      <w:tr w:rsidR="00B60C77" w14:paraId="0E780DC9" w14:textId="77777777" w:rsidTr="00B23521">
        <w:tc>
          <w:tcPr>
            <w:tcW w:w="7597" w:type="dxa"/>
          </w:tcPr>
          <w:p w14:paraId="2D11320F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В графе 9 Отчета указывается код статуса кредитной организации </w:t>
            </w:r>
            <w:r>
              <w:rPr>
                <w:rFonts w:cs="Arial"/>
                <w:strike/>
                <w:color w:val="FF0000"/>
              </w:rPr>
              <w:t>в платежной системе</w:t>
            </w:r>
            <w:r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07BA3B0D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.8.</w:t>
            </w:r>
            <w:r>
              <w:rPr>
                <w:rFonts w:cs="Arial"/>
              </w:rPr>
              <w:t xml:space="preserve"> В графе 9 Отчета указывается код статуса кредитной организации:</w:t>
            </w:r>
          </w:p>
        </w:tc>
      </w:tr>
      <w:tr w:rsidR="00B60C77" w14:paraId="4E37297B" w14:textId="77777777" w:rsidTr="00B23521">
        <w:tc>
          <w:tcPr>
            <w:tcW w:w="7597" w:type="dxa"/>
          </w:tcPr>
          <w:p w14:paraId="2EB58401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1 - кредитная организация - </w:t>
            </w:r>
            <w:r>
              <w:rPr>
                <w:rFonts w:cs="Arial"/>
                <w:strike/>
                <w:color w:val="FF0000"/>
              </w:rPr>
              <w:t>принципиальный член, которая имеет выданную этой</w:t>
            </w:r>
            <w:r>
              <w:rPr>
                <w:rFonts w:cs="Arial"/>
              </w:rPr>
              <w:t xml:space="preserve"> платежной </w:t>
            </w:r>
            <w:r>
              <w:rPr>
                <w:rFonts w:cs="Arial"/>
                <w:strike/>
                <w:color w:val="FF0000"/>
              </w:rPr>
              <w:t>системой лицензию на</w:t>
            </w:r>
            <w:r>
              <w:rPr>
                <w:rFonts w:cs="Arial"/>
              </w:rPr>
              <w:t xml:space="preserve"> эмиссию и (или) эквайринг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этой платежной системы и обеспечивает осуществление всех </w:t>
            </w:r>
            <w:r>
              <w:rPr>
                <w:rFonts w:cs="Arial"/>
              </w:rPr>
              <w:lastRenderedPageBreak/>
              <w:t xml:space="preserve">расчетов по операциям с их использованием непосредственно с платежной </w:t>
            </w:r>
            <w:r>
              <w:rPr>
                <w:rFonts w:cs="Arial"/>
                <w:strike/>
                <w:color w:val="FF0000"/>
              </w:rPr>
              <w:t>системой</w:t>
            </w:r>
            <w:r>
              <w:rPr>
                <w:rFonts w:cs="Arial"/>
              </w:rPr>
              <w:t>;</w:t>
            </w:r>
          </w:p>
          <w:p w14:paraId="0495E5BF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2 - кредитная организация - </w:t>
            </w:r>
            <w:r>
              <w:rPr>
                <w:rFonts w:cs="Arial"/>
                <w:strike/>
                <w:color w:val="FF0000"/>
              </w:rPr>
              <w:t>ассоциированный (аффилированный) член, которая имеет выданную этой</w:t>
            </w:r>
            <w:r>
              <w:rPr>
                <w:rFonts w:cs="Arial"/>
              </w:rPr>
              <w:t xml:space="preserve"> платежной </w:t>
            </w:r>
            <w:r>
              <w:rPr>
                <w:rFonts w:cs="Arial"/>
                <w:strike/>
                <w:color w:val="FF0000"/>
              </w:rPr>
              <w:t>системой лицензию на</w:t>
            </w:r>
            <w:r>
              <w:rPr>
                <w:rFonts w:cs="Arial"/>
              </w:rPr>
              <w:t xml:space="preserve"> эмиссию и (или) эквайринг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этой платежной системы и осуществляет все расчеты по операциям с их использованием </w:t>
            </w:r>
            <w:r>
              <w:rPr>
                <w:rFonts w:cs="Arial"/>
                <w:strike/>
                <w:color w:val="FF0000"/>
              </w:rPr>
              <w:t>с платежной системой и ее участниками</w:t>
            </w:r>
            <w:r>
              <w:rPr>
                <w:rFonts w:cs="Arial"/>
              </w:rPr>
              <w:t xml:space="preserve"> через кредитную организацию - </w:t>
            </w:r>
            <w:r>
              <w:rPr>
                <w:rFonts w:cs="Arial"/>
                <w:strike/>
                <w:color w:val="FF0000"/>
              </w:rPr>
              <w:t>принципиального члена</w:t>
            </w:r>
            <w:r>
              <w:rPr>
                <w:rFonts w:cs="Arial"/>
              </w:rPr>
              <w:t xml:space="preserve"> этой платежной системы.</w:t>
            </w:r>
          </w:p>
        </w:tc>
        <w:tc>
          <w:tcPr>
            <w:tcW w:w="7597" w:type="dxa"/>
          </w:tcPr>
          <w:p w14:paraId="059B7987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1 - кредитная организация - </w:t>
            </w:r>
            <w:r>
              <w:rPr>
                <w:rFonts w:cs="Arial"/>
                <w:shd w:val="clear" w:color="auto" w:fill="C0C0C0"/>
              </w:rPr>
              <w:t>прямой участник, которая в соответствии с правилами</w:t>
            </w:r>
            <w:r>
              <w:rPr>
                <w:rFonts w:cs="Arial"/>
              </w:rPr>
              <w:t xml:space="preserve"> платежной </w:t>
            </w:r>
            <w:r>
              <w:rPr>
                <w:rFonts w:cs="Arial"/>
                <w:shd w:val="clear" w:color="auto" w:fill="C0C0C0"/>
              </w:rPr>
              <w:t>системы осуществляет</w:t>
            </w:r>
            <w:r>
              <w:rPr>
                <w:rFonts w:cs="Arial"/>
              </w:rPr>
              <w:t xml:space="preserve"> эмиссию и (или) эквайринг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 этой платежной системы и обеспечивает </w:t>
            </w:r>
            <w:r>
              <w:rPr>
                <w:rFonts w:cs="Arial"/>
              </w:rPr>
              <w:lastRenderedPageBreak/>
              <w:t xml:space="preserve">осуществление всех расчетов по операциям с их использованием непосредственно с </w:t>
            </w:r>
            <w:r>
              <w:rPr>
                <w:rFonts w:cs="Arial"/>
                <w:shd w:val="clear" w:color="auto" w:fill="C0C0C0"/>
              </w:rPr>
              <w:t>иными участниками</w:t>
            </w:r>
            <w:r>
              <w:rPr>
                <w:rFonts w:cs="Arial"/>
              </w:rPr>
              <w:t xml:space="preserve"> платежной </w:t>
            </w:r>
            <w:r>
              <w:rPr>
                <w:rFonts w:cs="Arial"/>
                <w:shd w:val="clear" w:color="auto" w:fill="C0C0C0"/>
              </w:rPr>
              <w:t>системы</w:t>
            </w:r>
            <w:r>
              <w:rPr>
                <w:rFonts w:cs="Arial"/>
              </w:rPr>
              <w:t>;</w:t>
            </w:r>
          </w:p>
          <w:p w14:paraId="3891D8CE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2 - кредитная организация - </w:t>
            </w:r>
            <w:r>
              <w:rPr>
                <w:rFonts w:cs="Arial"/>
                <w:shd w:val="clear" w:color="auto" w:fill="C0C0C0"/>
              </w:rPr>
              <w:t>косвенный участник, которая в соответствии с правилами</w:t>
            </w:r>
            <w:r>
              <w:rPr>
                <w:rFonts w:cs="Arial"/>
              </w:rPr>
              <w:t xml:space="preserve"> платежной </w:t>
            </w:r>
            <w:r>
              <w:rPr>
                <w:rFonts w:cs="Arial"/>
                <w:shd w:val="clear" w:color="auto" w:fill="C0C0C0"/>
              </w:rPr>
              <w:t>системы осуществляет</w:t>
            </w:r>
            <w:r>
              <w:rPr>
                <w:rFonts w:cs="Arial"/>
              </w:rPr>
              <w:t xml:space="preserve"> эмиссию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и (или) эквайринг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 этой платежной системы и осуществляет все расчеты по операциям с их использованием через кредитную организацию - </w:t>
            </w:r>
            <w:r>
              <w:rPr>
                <w:rFonts w:cs="Arial"/>
                <w:shd w:val="clear" w:color="auto" w:fill="C0C0C0"/>
              </w:rPr>
              <w:t>прямого участника</w:t>
            </w:r>
            <w:r>
              <w:rPr>
                <w:rFonts w:cs="Arial"/>
              </w:rPr>
              <w:t xml:space="preserve"> этой платежной системы.</w:t>
            </w:r>
          </w:p>
        </w:tc>
      </w:tr>
      <w:tr w:rsidR="00B60C77" w14:paraId="20621FDF" w14:textId="77777777" w:rsidTr="00B23521">
        <w:tc>
          <w:tcPr>
            <w:tcW w:w="7597" w:type="dxa"/>
          </w:tcPr>
          <w:p w14:paraId="353F3AF0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При отсутствии статуса в </w:t>
            </w:r>
            <w:r>
              <w:rPr>
                <w:rFonts w:cs="Arial"/>
                <w:strike/>
                <w:color w:val="FF0000"/>
              </w:rPr>
              <w:t>платежной системе в указанной</w:t>
            </w:r>
            <w:r>
              <w:rPr>
                <w:rFonts w:cs="Arial"/>
              </w:rPr>
              <w:t xml:space="preserve"> графе ставится "0".</w:t>
            </w:r>
          </w:p>
          <w:p w14:paraId="55C4C834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В графе 10 Отчета указывается код статуса организации, осуществляющей расчеты между участниками расчетов по операциям с использованием </w:t>
            </w:r>
            <w:r>
              <w:rPr>
                <w:rFonts w:cs="Arial"/>
                <w:strike/>
                <w:color w:val="FF0000"/>
              </w:rPr>
              <w:t>платежных карт этой платежной системы</w:t>
            </w:r>
            <w:r>
              <w:rPr>
                <w:rFonts w:cs="Arial"/>
              </w:rPr>
              <w:t xml:space="preserve"> (далее - расчетная организация): 1 - российская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2 - иностранная.</w:t>
            </w:r>
          </w:p>
        </w:tc>
        <w:tc>
          <w:tcPr>
            <w:tcW w:w="7597" w:type="dxa"/>
          </w:tcPr>
          <w:p w14:paraId="79414383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статуса </w:t>
            </w:r>
            <w:r>
              <w:rPr>
                <w:rFonts w:cs="Arial"/>
                <w:shd w:val="clear" w:color="auto" w:fill="C0C0C0"/>
              </w:rPr>
              <w:t>кредитной организации</w:t>
            </w:r>
            <w:r>
              <w:rPr>
                <w:rFonts w:cs="Arial"/>
              </w:rPr>
              <w:t xml:space="preserve"> в графе </w:t>
            </w:r>
            <w:r>
              <w:rPr>
                <w:rFonts w:cs="Arial"/>
                <w:shd w:val="clear" w:color="auto" w:fill="C0C0C0"/>
              </w:rPr>
              <w:t>9 Отчета</w:t>
            </w:r>
            <w:r>
              <w:rPr>
                <w:rFonts w:cs="Arial"/>
              </w:rPr>
              <w:t xml:space="preserve"> ставится "0" </w:t>
            </w:r>
            <w:r>
              <w:rPr>
                <w:rFonts w:cs="Arial"/>
                <w:shd w:val="clear" w:color="auto" w:fill="C0C0C0"/>
              </w:rPr>
              <w:t>(ноль)</w:t>
            </w:r>
            <w:r>
              <w:rPr>
                <w:rFonts w:cs="Arial"/>
              </w:rPr>
              <w:t>.</w:t>
            </w:r>
          </w:p>
          <w:p w14:paraId="57C7E383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.9.</w:t>
            </w:r>
            <w:r>
              <w:rPr>
                <w:rFonts w:cs="Arial"/>
              </w:rPr>
              <w:t xml:space="preserve"> В графе 10 Отчета указывается код статуса организации, осуществляющей расчеты между участниками расчетов по операциям с использованием </w:t>
            </w:r>
            <w:r>
              <w:rPr>
                <w:rFonts w:cs="Arial"/>
                <w:shd w:val="clear" w:color="auto" w:fill="C0C0C0"/>
              </w:rPr>
              <w:t>ЭСП (кроме электронных кошельков)</w:t>
            </w:r>
            <w:r>
              <w:rPr>
                <w:rFonts w:cs="Arial"/>
              </w:rPr>
              <w:t xml:space="preserve"> (далее - расчетная организация):</w:t>
            </w:r>
          </w:p>
          <w:p w14:paraId="2A6FFA39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1 - российская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24DF2A2F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2 - иностранная.</w:t>
            </w:r>
          </w:p>
        </w:tc>
      </w:tr>
      <w:tr w:rsidR="00B60C77" w14:paraId="0E6BC0FC" w14:textId="77777777" w:rsidTr="00B23521">
        <w:tc>
          <w:tcPr>
            <w:tcW w:w="7597" w:type="dxa"/>
          </w:tcPr>
          <w:p w14:paraId="6F6D7CD5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При заполнении граф 11 и 12 Отчета кредитная организация указывает код и наименование расчетной организации.</w:t>
            </w:r>
          </w:p>
          <w:p w14:paraId="565AFAE1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Для иностранной расчетной организации код и наименование указываются в соответствии со справочной информацией об иностранных расчетных организациях, передаваемой Банком России. При отсутствии в указанной справочной информации кода и наименования иностранной расчетной организации в графе 11 ставится "0", в графе 12 - наименование отсутствующей иностранной расчетной организации.</w:t>
            </w:r>
          </w:p>
          <w:p w14:paraId="7B575B2F" w14:textId="77777777" w:rsidR="00B60C77" w:rsidRP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российской расчетной организации </w:t>
            </w:r>
            <w:r>
              <w:rPr>
                <w:rFonts w:cs="Arial"/>
                <w:strike/>
                <w:color w:val="FF0000"/>
              </w:rPr>
              <w:t>указывается</w:t>
            </w:r>
            <w:r>
              <w:rPr>
                <w:rFonts w:cs="Arial"/>
              </w:rPr>
              <w:t xml:space="preserve"> код (регистрационный номер) и фирменное наименование кредитной организации в соответствии с Книгой государственной регистрации кредитных организаций</w:t>
            </w:r>
            <w:r>
              <w:rPr>
                <w:rFonts w:cs="Arial"/>
                <w:strike/>
                <w:color w:val="FF0000"/>
              </w:rPr>
              <w:t>.</w:t>
            </w:r>
            <w:r>
              <w:rPr>
                <w:rFonts w:cs="Arial"/>
              </w:rPr>
              <w:t xml:space="preserve"> В случае если расчеты между участниками расчетов по операциям с использованием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осуществляет Центральный банк Российской Федерации</w:t>
            </w:r>
            <w:r>
              <w:rPr>
                <w:rFonts w:cs="Arial"/>
                <w:strike/>
                <w:color w:val="FF0000"/>
              </w:rPr>
              <w:t>, в графе 11 ставится "9999", а в графе 12 - "Банк России"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15204EC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.10.</w:t>
            </w:r>
            <w:r>
              <w:rPr>
                <w:rFonts w:cs="Arial"/>
              </w:rPr>
              <w:t xml:space="preserve"> При заполнении граф 11 и 12 Отчета кредитная организация указывает код и наименование расчетной организации.</w:t>
            </w:r>
          </w:p>
          <w:p w14:paraId="2293AC7A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иностранной расчетной организации код и наименование указываются в соответствии со справочной информацией об иностранных расчетных организациях, передаваемой Банком России. При отсутствии в указанной справочной информации кода и наименования иностранной расчетной организации в графе 11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ставится "0" </w:t>
            </w:r>
            <w:r>
              <w:rPr>
                <w:rFonts w:cs="Arial"/>
                <w:shd w:val="clear" w:color="auto" w:fill="C0C0C0"/>
              </w:rPr>
              <w:t>(ноль)</w:t>
            </w:r>
            <w:r>
              <w:rPr>
                <w:rFonts w:cs="Arial"/>
              </w:rPr>
              <w:t xml:space="preserve">, в графе 12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- наименование отсутствующей иностранной расчетной организации.</w:t>
            </w:r>
          </w:p>
          <w:p w14:paraId="164C7686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российской расчетной организации </w:t>
            </w:r>
            <w:r>
              <w:rPr>
                <w:rFonts w:cs="Arial"/>
                <w:shd w:val="clear" w:color="auto" w:fill="C0C0C0"/>
              </w:rPr>
              <w:t>указываются</w:t>
            </w:r>
            <w:r>
              <w:rPr>
                <w:rFonts w:cs="Arial"/>
              </w:rPr>
              <w:t xml:space="preserve"> код (регистрационный номер) и </w:t>
            </w:r>
            <w:r>
              <w:rPr>
                <w:rFonts w:cs="Arial"/>
                <w:shd w:val="clear" w:color="auto" w:fill="C0C0C0"/>
              </w:rPr>
              <w:t>полное</w:t>
            </w:r>
            <w:r>
              <w:rPr>
                <w:rFonts w:cs="Arial"/>
              </w:rPr>
              <w:t xml:space="preserve"> фирменное наименование кредитной организации в соответствии с Книгой государственной регистрации кредитных организаций</w:t>
            </w:r>
            <w:r>
              <w:rPr>
                <w:rFonts w:cs="Arial"/>
                <w:shd w:val="clear" w:color="auto" w:fill="C0C0C0"/>
              </w:rPr>
              <w:t>, которая ведется Банком России в соответствии с частью третьей статьи 12 Федерального закона "О банках и банковской деятельности" (в редакции Федерального закона от 3 февраля 1996 года N 17-ФЗ).</w:t>
            </w:r>
            <w:r>
              <w:rPr>
                <w:rFonts w:cs="Arial"/>
              </w:rPr>
              <w:t xml:space="preserve"> В случае если расчеты между участниками расчетов по операциям с использованием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осуществляет </w:t>
            </w:r>
            <w:r>
              <w:rPr>
                <w:rFonts w:cs="Arial"/>
                <w:shd w:val="clear" w:color="auto" w:fill="C0C0C0"/>
              </w:rPr>
              <w:t>Банк России, в графе 11 Отчета ставится код "9999", а в графе 12 Отчета - "</w:t>
            </w:r>
            <w:r>
              <w:rPr>
                <w:rFonts w:cs="Arial"/>
              </w:rPr>
              <w:t>Центральный банк Российской Федерации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>.</w:t>
            </w:r>
          </w:p>
        </w:tc>
      </w:tr>
      <w:tr w:rsidR="00B60C77" w14:paraId="34F6F929" w14:textId="77777777" w:rsidTr="00B23521">
        <w:tc>
          <w:tcPr>
            <w:tcW w:w="7597" w:type="dxa"/>
          </w:tcPr>
          <w:p w14:paraId="56D72FE7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Код и фирменное наименование кредитной организации, представившей Отчет, указываются в графах 11 и 12 в случае, если в пунктах выдачи наличных денег и банкоматах данной кредитной организации, а также в организациях торговли (услуг), расчеты с которыми по операциям с использованием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осуществляет данная кредитная организация, принимаются на основании двусторонних межбанковских договоров </w:t>
            </w:r>
            <w:r>
              <w:rPr>
                <w:rFonts w:cs="Arial"/>
                <w:strike/>
                <w:color w:val="FF0000"/>
              </w:rPr>
              <w:t>платежные карты</w:t>
            </w:r>
            <w:r>
              <w:rPr>
                <w:rFonts w:cs="Arial"/>
              </w:rPr>
              <w:t xml:space="preserve">, эмитированные другой кредитной организацией, или только </w:t>
            </w:r>
            <w:r>
              <w:rPr>
                <w:rFonts w:cs="Arial"/>
                <w:strike/>
                <w:color w:val="FF0000"/>
              </w:rPr>
              <w:t>платежные карты</w:t>
            </w:r>
            <w:r>
              <w:rPr>
                <w:rFonts w:cs="Arial"/>
              </w:rPr>
              <w:t>, эмитированные данной кредитной организацией.</w:t>
            </w:r>
          </w:p>
          <w:p w14:paraId="18559F24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Кредитная организация, имеющая несколько расчетных организаций, </w:t>
            </w:r>
            <w:r>
              <w:rPr>
                <w:rFonts w:cs="Arial"/>
                <w:strike/>
                <w:color w:val="FF0000"/>
              </w:rPr>
              <w:t>должна сформировать</w:t>
            </w:r>
            <w:r>
              <w:rPr>
                <w:rFonts w:cs="Arial"/>
              </w:rPr>
              <w:t xml:space="preserve"> для каждой расчетной организации отдельную строку.</w:t>
            </w:r>
          </w:p>
          <w:p w14:paraId="27C6E2F9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 w:rsidRPr="00B60C77">
              <w:t>При смене расчетной организации кредитная организация формирует две строки: первая строка - о завершении работы с одной расчетной организацией с указанием в графе 7 Отчета даты завершения работы с ней, вторая строка - о начале работы с другой расчетной организацией с указанием в графе 6 Отчета даты начала работы с ней.</w:t>
            </w:r>
          </w:p>
        </w:tc>
        <w:tc>
          <w:tcPr>
            <w:tcW w:w="7597" w:type="dxa"/>
          </w:tcPr>
          <w:p w14:paraId="13FE3B75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Код и </w:t>
            </w:r>
            <w:r>
              <w:rPr>
                <w:rFonts w:cs="Arial"/>
                <w:shd w:val="clear" w:color="auto" w:fill="C0C0C0"/>
              </w:rPr>
              <w:t>полное</w:t>
            </w:r>
            <w:r>
              <w:rPr>
                <w:rFonts w:cs="Arial"/>
              </w:rPr>
              <w:t xml:space="preserve"> фирменное наименование кредитной организации, представившей Отчет, указываются в графах 11 и 12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в случае, если в пунктах выдачи наличных денег и банкоматах данной кредитной организации, а также в организациях торговли (услуг), расчеты с которыми по операциям с использованием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осуществляет данная кредитная организация, принимаются на основании двусторонних межбанковских договоров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, эмитированные другой кредитной организацией, или только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>, эмитированные данной кредитной организацией.</w:t>
            </w:r>
          </w:p>
          <w:p w14:paraId="1B3BB88B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Кредитная организация, имеющая несколько расчетных организаций, </w:t>
            </w:r>
            <w:r>
              <w:rPr>
                <w:rFonts w:cs="Arial"/>
                <w:shd w:val="clear" w:color="auto" w:fill="C0C0C0"/>
              </w:rPr>
              <w:t>формирует</w:t>
            </w:r>
            <w:r>
              <w:rPr>
                <w:rFonts w:cs="Arial"/>
              </w:rPr>
              <w:t xml:space="preserve"> для каждой расчетной организации отдельную строку.</w:t>
            </w:r>
          </w:p>
          <w:p w14:paraId="5D237972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 w:rsidRPr="00B60C77">
              <w:t>При смене расчетной организации кредитная организация формирует две строки: первая строка - о завершении работы с одной расчетной организацией с указанием в графе 7 Отчета даты завершения работы с ней, вторая строка - о начале работы с другой расчетной организацией с указанием в графе 6 Отчета даты начала работы с ней.</w:t>
            </w:r>
          </w:p>
        </w:tc>
      </w:tr>
      <w:tr w:rsidR="00B60C77" w14:paraId="0710E173" w14:textId="77777777" w:rsidTr="00B23521">
        <w:tc>
          <w:tcPr>
            <w:tcW w:w="7597" w:type="dxa"/>
          </w:tcPr>
          <w:p w14:paraId="01C15F35" w14:textId="77777777" w:rsidR="00B60C77" w:rsidRDefault="00B60C77" w:rsidP="00B60C7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26E2867" w14:textId="77777777" w:rsidR="00B60C77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Графы 11 и 12 Отчета не заполняются, если в графе 14 Отчета указано значение "электронный кошелек".</w:t>
            </w:r>
          </w:p>
        </w:tc>
      </w:tr>
      <w:tr w:rsidR="00B23521" w14:paraId="35378A1F" w14:textId="77777777" w:rsidTr="00B23521">
        <w:tc>
          <w:tcPr>
            <w:tcW w:w="7597" w:type="dxa"/>
          </w:tcPr>
          <w:p w14:paraId="2DA59DB8" w14:textId="77777777" w:rsidR="00B23521" w:rsidRDefault="00515F42" w:rsidP="00515F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</w:t>
            </w:r>
            <w:r w:rsidRPr="00B60C77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Графы 13 и 14 Отчета заполняются только </w:t>
            </w:r>
            <w:r>
              <w:rPr>
                <w:rFonts w:cs="Arial"/>
                <w:strike/>
                <w:color w:val="FF0000"/>
              </w:rPr>
              <w:t>в строках</w:t>
            </w:r>
            <w:r>
              <w:rPr>
                <w:rFonts w:cs="Arial"/>
              </w:rPr>
              <w:t xml:space="preserve"> о начале (завершении) эмиссии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. В графах 13 и 14 </w:t>
            </w:r>
            <w:r>
              <w:rPr>
                <w:rFonts w:cs="Arial"/>
                <w:strike/>
                <w:color w:val="FF0000"/>
              </w:rPr>
              <w:t>указывается вид платежной карты: расчетная, кредитная, предоплаченная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5A06460" w14:textId="77777777" w:rsidR="00B23521" w:rsidRDefault="00515F42" w:rsidP="00515F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B60C77">
              <w:rPr>
                <w:rFonts w:cs="Arial"/>
              </w:rPr>
              <w:t>.11.</w:t>
            </w:r>
            <w:r>
              <w:rPr>
                <w:rFonts w:cs="Arial"/>
              </w:rPr>
              <w:t xml:space="preserve"> Графы 13 и 14 Отчета заполняются только </w:t>
            </w:r>
            <w:r>
              <w:rPr>
                <w:rFonts w:cs="Arial"/>
                <w:shd w:val="clear" w:color="auto" w:fill="C0C0C0"/>
              </w:rPr>
              <w:t>по строкам</w:t>
            </w:r>
            <w:r>
              <w:rPr>
                <w:rFonts w:cs="Arial"/>
              </w:rPr>
              <w:t xml:space="preserve"> о начале (завершении) эмиссии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. В графах 13 и 14 </w:t>
            </w:r>
            <w:r>
              <w:rPr>
                <w:rFonts w:cs="Arial"/>
                <w:shd w:val="clear" w:color="auto" w:fill="C0C0C0"/>
              </w:rPr>
              <w:t>Отчета указываются код и наименование вида ЭСП в соответствии справочной информацией о видах ЭСП, передаваемой Банком России</w:t>
            </w:r>
            <w:r>
              <w:rPr>
                <w:rFonts w:cs="Arial"/>
              </w:rPr>
              <w:t>.</w:t>
            </w:r>
          </w:p>
        </w:tc>
      </w:tr>
      <w:tr w:rsidR="00515F42" w14:paraId="01EB7556" w14:textId="77777777" w:rsidTr="00B23521">
        <w:tc>
          <w:tcPr>
            <w:tcW w:w="7597" w:type="dxa"/>
          </w:tcPr>
          <w:p w14:paraId="2EBA9989" w14:textId="77777777" w:rsidR="00515F42" w:rsidRDefault="00515F42" w:rsidP="00515F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Кредитная организация, эмитирующая </w:t>
            </w:r>
            <w:r>
              <w:rPr>
                <w:rFonts w:cs="Arial"/>
                <w:strike/>
                <w:color w:val="FF0000"/>
              </w:rPr>
              <w:t>платежные карты</w:t>
            </w:r>
            <w:r>
              <w:rPr>
                <w:rFonts w:cs="Arial"/>
              </w:rPr>
              <w:t xml:space="preserve"> нескольких видов, для каждого вида </w:t>
            </w:r>
            <w:r>
              <w:rPr>
                <w:rFonts w:cs="Arial"/>
                <w:strike/>
                <w:color w:val="FF0000"/>
              </w:rPr>
              <w:t>карты</w:t>
            </w:r>
            <w:r>
              <w:rPr>
                <w:rFonts w:cs="Arial"/>
              </w:rPr>
              <w:t xml:space="preserve"> формирует отдельную строку с указанием в графе 6 Отчета даты начала эмиссии этих </w:t>
            </w:r>
            <w:r>
              <w:rPr>
                <w:rFonts w:cs="Arial"/>
                <w:strike/>
                <w:color w:val="FF0000"/>
              </w:rPr>
              <w:t>карт</w:t>
            </w:r>
            <w:r>
              <w:rPr>
                <w:rFonts w:cs="Arial"/>
              </w:rPr>
              <w:t xml:space="preserve"> (при этом графа 7 не заполняется).</w:t>
            </w:r>
          </w:p>
        </w:tc>
        <w:tc>
          <w:tcPr>
            <w:tcW w:w="7597" w:type="dxa"/>
          </w:tcPr>
          <w:p w14:paraId="47A0E12E" w14:textId="77777777" w:rsidR="00515F42" w:rsidRDefault="00515F42" w:rsidP="00515F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Кредитная организация, эмитирующая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нескольких видов, для каждого вида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формирует отдельную строку с указанием в графе 6 Отчета даты начала эмиссии этих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(при этом графа 7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не заполняется).</w:t>
            </w:r>
          </w:p>
        </w:tc>
      </w:tr>
      <w:tr w:rsidR="00515F42" w14:paraId="37C5E387" w14:textId="77777777" w:rsidTr="00B23521">
        <w:tc>
          <w:tcPr>
            <w:tcW w:w="7597" w:type="dxa"/>
          </w:tcPr>
          <w:p w14:paraId="41010CA1" w14:textId="77777777" w:rsidR="00515F42" w:rsidRDefault="00515F42" w:rsidP="00515F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завершении эмиссии одного из видов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кредитная организация </w:t>
            </w:r>
            <w:r>
              <w:rPr>
                <w:rFonts w:cs="Arial"/>
                <w:strike/>
                <w:color w:val="FF0000"/>
              </w:rPr>
              <w:t>должна сформировать</w:t>
            </w:r>
            <w:r>
              <w:rPr>
                <w:rFonts w:cs="Arial"/>
              </w:rPr>
              <w:t xml:space="preserve"> строку с указанием в графе 7 Отчета даты завершения работы с этим видом </w:t>
            </w:r>
            <w:r>
              <w:rPr>
                <w:rFonts w:cs="Arial"/>
                <w:strike/>
                <w:color w:val="FF0000"/>
              </w:rPr>
              <w:t>платежных карт</w:t>
            </w:r>
            <w:r>
              <w:rPr>
                <w:rFonts w:cs="Arial"/>
              </w:rPr>
              <w:t xml:space="preserve"> (при этом графа 6 не заполняется).</w:t>
            </w:r>
          </w:p>
        </w:tc>
        <w:tc>
          <w:tcPr>
            <w:tcW w:w="7597" w:type="dxa"/>
          </w:tcPr>
          <w:p w14:paraId="604E52A8" w14:textId="77777777" w:rsidR="00515F42" w:rsidRDefault="00515F42" w:rsidP="00515F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завершении эмиссии одного из видов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кредитная организация </w:t>
            </w:r>
            <w:r>
              <w:rPr>
                <w:rFonts w:cs="Arial"/>
                <w:shd w:val="clear" w:color="auto" w:fill="C0C0C0"/>
              </w:rPr>
              <w:t>формирует</w:t>
            </w:r>
            <w:r>
              <w:rPr>
                <w:rFonts w:cs="Arial"/>
              </w:rPr>
              <w:t xml:space="preserve"> строку с указанием в графе 7 Отчета даты завершения работы с этим видом </w:t>
            </w:r>
            <w:r>
              <w:rPr>
                <w:rFonts w:cs="Arial"/>
                <w:shd w:val="clear" w:color="auto" w:fill="C0C0C0"/>
              </w:rPr>
              <w:t>ЭСП</w:t>
            </w:r>
            <w:r>
              <w:rPr>
                <w:rFonts w:cs="Arial"/>
              </w:rPr>
              <w:t xml:space="preserve"> (при этом графа 6 </w:t>
            </w:r>
            <w:r>
              <w:rPr>
                <w:rFonts w:cs="Arial"/>
                <w:shd w:val="clear" w:color="auto" w:fill="C0C0C0"/>
              </w:rPr>
              <w:t>Отчета</w:t>
            </w:r>
            <w:r>
              <w:rPr>
                <w:rFonts w:cs="Arial"/>
              </w:rPr>
              <w:t xml:space="preserve"> не заполняется).</w:t>
            </w:r>
          </w:p>
        </w:tc>
      </w:tr>
      <w:tr w:rsidR="00B23521" w14:paraId="493F8A72" w14:textId="77777777" w:rsidTr="00B23521">
        <w:tc>
          <w:tcPr>
            <w:tcW w:w="7597" w:type="dxa"/>
          </w:tcPr>
          <w:p w14:paraId="3DB68C7B" w14:textId="77777777" w:rsidR="00B23521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</w:t>
            </w:r>
            <w:r w:rsidRPr="00515F42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Графы 15 и 16 Отчета заполняются в </w:t>
            </w:r>
            <w:r>
              <w:rPr>
                <w:rFonts w:cs="Arial"/>
                <w:strike/>
                <w:color w:val="FF0000"/>
              </w:rPr>
              <w:t>том</w:t>
            </w:r>
            <w:r>
              <w:rPr>
                <w:rFonts w:cs="Arial"/>
              </w:rPr>
              <w:t xml:space="preserve"> случае, если кредитная организация эмитирует </w:t>
            </w:r>
            <w:r>
              <w:rPr>
                <w:rFonts w:cs="Arial"/>
                <w:strike/>
                <w:color w:val="FF0000"/>
              </w:rPr>
              <w:t>совмещенные карты</w:t>
            </w:r>
            <w:r>
              <w:rPr>
                <w:rFonts w:cs="Arial"/>
              </w:rPr>
              <w:t>, позволяющие их держателям совершать операции в двух и более платежных системах, участником которых является данная кредитная организация</w:t>
            </w:r>
            <w:r>
              <w:rPr>
                <w:rFonts w:cs="Arial"/>
                <w:strike/>
                <w:color w:val="FF0000"/>
              </w:rPr>
              <w:t>, заключившая договор с держателями этих карт</w:t>
            </w:r>
            <w:r w:rsidRPr="00515F42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F382DBE" w14:textId="77777777" w:rsidR="00B23521" w:rsidRDefault="00B60C77" w:rsidP="00B60C7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</w:t>
            </w:r>
            <w:r w:rsidRPr="00515F42">
              <w:rPr>
                <w:rFonts w:cs="Arial"/>
              </w:rPr>
              <w:t>.12.</w:t>
            </w:r>
            <w:r>
              <w:rPr>
                <w:rFonts w:cs="Arial"/>
              </w:rPr>
              <w:t xml:space="preserve"> Графы 15 и 16 Отчета заполняются в случае, если кредитная организация эмитирует </w:t>
            </w:r>
            <w:proofErr w:type="spellStart"/>
            <w:r>
              <w:rPr>
                <w:rFonts w:cs="Arial"/>
                <w:shd w:val="clear" w:color="auto" w:fill="C0C0C0"/>
              </w:rPr>
              <w:t>кобейджинговые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ЭСП</w:t>
            </w:r>
            <w:r>
              <w:rPr>
                <w:rFonts w:cs="Arial"/>
              </w:rPr>
              <w:t>, позволяющие их держателям совершать операции в двух и более платежных системах, участником которых является данная кредитная организация</w:t>
            </w:r>
            <w:r w:rsidRPr="00515F42">
              <w:rPr>
                <w:rFonts w:cs="Arial"/>
              </w:rPr>
              <w:t>.</w:t>
            </w:r>
          </w:p>
        </w:tc>
      </w:tr>
    </w:tbl>
    <w:p w14:paraId="25AF08A3" w14:textId="77777777" w:rsidR="00B23521" w:rsidRDefault="00B23521" w:rsidP="00B60C77">
      <w:pPr>
        <w:spacing w:after="1" w:line="200" w:lineRule="atLeast"/>
        <w:jc w:val="both"/>
        <w:rPr>
          <w:rFonts w:cs="Arial"/>
        </w:rPr>
      </w:pPr>
    </w:p>
    <w:sectPr w:rsidR="00B23521" w:rsidSect="00CB28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21"/>
    <w:rsid w:val="001334C3"/>
    <w:rsid w:val="00252FA0"/>
    <w:rsid w:val="0039141E"/>
    <w:rsid w:val="00515F42"/>
    <w:rsid w:val="00841EEC"/>
    <w:rsid w:val="00995BD1"/>
    <w:rsid w:val="009F7EFA"/>
    <w:rsid w:val="00B23521"/>
    <w:rsid w:val="00B60C77"/>
    <w:rsid w:val="00C8525E"/>
    <w:rsid w:val="00CB19E3"/>
    <w:rsid w:val="00E5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847C"/>
  <w15:chartTrackingRefBased/>
  <w15:docId w15:val="{7A738245-DF3C-47A5-B9F8-EE85CCD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5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3521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515F42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56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FAD8A38B14B1F933AF52C48B21D669BCE3DBD8CBC258B8D99BC925EA3086192EA81F6AD66E8ECC71DA254208C22179FFE746493BF8FB0R8F1P" TargetMode="External"/><Relationship Id="rId5" Type="http://schemas.openxmlformats.org/officeDocument/2006/relationships/hyperlink" Target="consultantplus://offline/ref=BF2D02CF4557AAFDF40D886B73B868AE991F71D62625815D349B928E7243F5743A0B25088B4408E64375B5C5D84E212DCC6CE155E92E8760zBwE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3</cp:revision>
  <dcterms:created xsi:type="dcterms:W3CDTF">2024-01-10T12:39:00Z</dcterms:created>
  <dcterms:modified xsi:type="dcterms:W3CDTF">2024-02-20T15:07:00Z</dcterms:modified>
</cp:coreProperties>
</file>